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89" w:rsidRPr="00D5337F" w:rsidRDefault="00F25E89" w:rsidP="00D5337F">
      <w:pPr>
        <w:jc w:val="center"/>
        <w:rPr>
          <w:rFonts w:ascii="Arial" w:hAnsi="Arial" w:cs="Arial"/>
          <w:b/>
          <w:bCs/>
          <w:sz w:val="18"/>
          <w:szCs w:val="18"/>
        </w:rPr>
      </w:pP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D5337F">
        <w:rPr>
          <w:rFonts w:ascii="Arial" w:hAnsi="Arial" w:cs="Arial"/>
          <w:b/>
          <w:bCs/>
          <w:sz w:val="18"/>
          <w:szCs w:val="18"/>
        </w:rPr>
        <w:t>1. prosince 2015</w:t>
      </w:r>
    </w:p>
    <w:p w:rsidR="00F25E89" w:rsidRPr="006F67F4" w:rsidRDefault="00F25E89" w:rsidP="006F67F4">
      <w:pPr>
        <w:jc w:val="right"/>
        <w:rPr>
          <w:rFonts w:ascii="Arial" w:hAnsi="Arial" w:cs="Arial"/>
          <w:sz w:val="18"/>
          <w:szCs w:val="18"/>
        </w:rPr>
      </w:pPr>
    </w:p>
    <w:p w:rsidR="00F25E89" w:rsidRPr="006F67F4" w:rsidRDefault="00F25E89" w:rsidP="006F67F4">
      <w:pPr>
        <w:jc w:val="center"/>
        <w:rPr>
          <w:rFonts w:ascii="Arial" w:hAnsi="Arial" w:cs="Arial"/>
          <w:b/>
          <w:bCs/>
          <w:sz w:val="28"/>
          <w:szCs w:val="28"/>
          <w:u w:val="single"/>
        </w:rPr>
      </w:pPr>
      <w:r w:rsidRPr="007B6215">
        <w:rPr>
          <w:rFonts w:ascii="Arial" w:hAnsi="Arial" w:cs="Arial"/>
          <w:b/>
          <w:bCs/>
          <w:sz w:val="28"/>
          <w:szCs w:val="28"/>
          <w:u w:val="single"/>
        </w:rPr>
        <w:t>Informace/Zpráva o novém pojištění domu Zdiměřická 1455/32</w:t>
      </w:r>
    </w:p>
    <w:p w:rsidR="00F25E89" w:rsidRDefault="00F25E89" w:rsidP="007B6215">
      <w:pPr>
        <w:jc w:val="both"/>
        <w:rPr>
          <w:rFonts w:ascii="Arial" w:hAnsi="Arial" w:cs="Arial"/>
        </w:rPr>
      </w:pPr>
      <w:r w:rsidRPr="007B6215">
        <w:rPr>
          <w:rFonts w:ascii="Arial" w:hAnsi="Arial" w:cs="Arial"/>
        </w:rPr>
        <w:t xml:space="preserve">Dne </w:t>
      </w:r>
      <w:r>
        <w:rPr>
          <w:rFonts w:ascii="Arial" w:hAnsi="Arial" w:cs="Arial"/>
        </w:rPr>
        <w:t xml:space="preserve">14.7.2015 byla podepsána nová „Pojistná smlouva č. 80559104511 - pro pojištění bytových domů NÁŠ DŮM“ mezi ČSOB Pojišťovna, a.s. se sídlem Pardubice a naším bytovým družstvem Zdiměřická 1455. Za BD byla smlouva podepsána předsedou                          a místopředsedou BD panem Arnoldem a Kačerovským. Pojištění je sjednáno na dobu </w:t>
      </w:r>
      <w:r w:rsidRPr="00FA34E6">
        <w:rPr>
          <w:rFonts w:ascii="Arial" w:hAnsi="Arial" w:cs="Arial"/>
          <w:b/>
          <w:bCs/>
        </w:rPr>
        <w:t>neurčitou</w:t>
      </w:r>
      <w:r>
        <w:rPr>
          <w:rFonts w:ascii="Arial" w:hAnsi="Arial" w:cs="Arial"/>
        </w:rPr>
        <w:t xml:space="preserve">. Pojištění se řídí Všeobecnými pojistnými podmínkami – Pojištění bytových domů VPP BD 2014. </w:t>
      </w:r>
    </w:p>
    <w:p w:rsidR="00F25E89" w:rsidRPr="00263938" w:rsidRDefault="00F25E89" w:rsidP="007B6215">
      <w:pPr>
        <w:jc w:val="both"/>
        <w:rPr>
          <w:rFonts w:ascii="Arial" w:hAnsi="Arial" w:cs="Arial"/>
        </w:rPr>
      </w:pPr>
      <w:r>
        <w:rPr>
          <w:rFonts w:ascii="Arial" w:hAnsi="Arial" w:cs="Arial"/>
          <w:color w:val="000000"/>
        </w:rPr>
        <w:t xml:space="preserve">Vznik nové Smlouvy o pojištění – představenstvo družstva </w:t>
      </w:r>
      <w:r w:rsidRPr="00263938">
        <w:rPr>
          <w:rFonts w:ascii="Arial" w:hAnsi="Arial" w:cs="Arial"/>
          <w:color w:val="000000"/>
        </w:rPr>
        <w:t>byl</w:t>
      </w:r>
      <w:r>
        <w:rPr>
          <w:rFonts w:ascii="Arial" w:hAnsi="Arial" w:cs="Arial"/>
          <w:color w:val="000000"/>
        </w:rPr>
        <w:t xml:space="preserve">o </w:t>
      </w:r>
      <w:r w:rsidRPr="00263938">
        <w:rPr>
          <w:rFonts w:ascii="Arial" w:hAnsi="Arial" w:cs="Arial"/>
          <w:color w:val="000000"/>
        </w:rPr>
        <w:t>osloven</w:t>
      </w:r>
      <w:r>
        <w:rPr>
          <w:rFonts w:ascii="Arial" w:hAnsi="Arial" w:cs="Arial"/>
          <w:color w:val="000000"/>
        </w:rPr>
        <w:t>o</w:t>
      </w:r>
      <w:r w:rsidRPr="00263938">
        <w:rPr>
          <w:rFonts w:ascii="Arial" w:hAnsi="Arial" w:cs="Arial"/>
          <w:color w:val="000000"/>
        </w:rPr>
        <w:t xml:space="preserve"> pojistným makléřem ČSOB pojišťovny, </w:t>
      </w:r>
      <w:r>
        <w:rPr>
          <w:rFonts w:ascii="Arial" w:hAnsi="Arial" w:cs="Arial"/>
          <w:color w:val="000000"/>
        </w:rPr>
        <w:t>(</w:t>
      </w:r>
      <w:r w:rsidRPr="00263938">
        <w:rPr>
          <w:rFonts w:ascii="Arial" w:hAnsi="Arial" w:cs="Arial"/>
          <w:color w:val="000000"/>
        </w:rPr>
        <w:t>jako dlouholet</w:t>
      </w:r>
      <w:r>
        <w:rPr>
          <w:rFonts w:ascii="Arial" w:hAnsi="Arial" w:cs="Arial"/>
          <w:color w:val="000000"/>
        </w:rPr>
        <w:t>ý</w:t>
      </w:r>
      <w:r w:rsidRPr="00263938">
        <w:rPr>
          <w:rFonts w:ascii="Arial" w:hAnsi="Arial" w:cs="Arial"/>
          <w:color w:val="000000"/>
        </w:rPr>
        <w:t xml:space="preserve"> zákazník</w:t>
      </w:r>
      <w:r>
        <w:rPr>
          <w:rFonts w:ascii="Arial" w:hAnsi="Arial" w:cs="Arial"/>
          <w:color w:val="000000"/>
        </w:rPr>
        <w:t xml:space="preserve">) s nabídkou </w:t>
      </w:r>
      <w:r w:rsidRPr="00263938">
        <w:rPr>
          <w:rFonts w:ascii="Arial" w:hAnsi="Arial" w:cs="Arial"/>
          <w:color w:val="000000"/>
        </w:rPr>
        <w:t>proved</w:t>
      </w:r>
      <w:r>
        <w:rPr>
          <w:rFonts w:ascii="Arial" w:hAnsi="Arial" w:cs="Arial"/>
          <w:color w:val="000000"/>
        </w:rPr>
        <w:t>ení</w:t>
      </w:r>
      <w:r w:rsidRPr="00263938">
        <w:rPr>
          <w:rFonts w:ascii="Arial" w:hAnsi="Arial" w:cs="Arial"/>
          <w:color w:val="000000"/>
        </w:rPr>
        <w:t xml:space="preserve"> reviz</w:t>
      </w:r>
      <w:r>
        <w:rPr>
          <w:rFonts w:ascii="Arial" w:hAnsi="Arial" w:cs="Arial"/>
          <w:color w:val="000000"/>
        </w:rPr>
        <w:t>e</w:t>
      </w:r>
      <w:r w:rsidRPr="00263938">
        <w:rPr>
          <w:rFonts w:ascii="Arial" w:hAnsi="Arial" w:cs="Arial"/>
          <w:color w:val="000000"/>
        </w:rPr>
        <w:t xml:space="preserve"> </w:t>
      </w:r>
      <w:r>
        <w:rPr>
          <w:rFonts w:ascii="Arial" w:hAnsi="Arial" w:cs="Arial"/>
          <w:color w:val="000000"/>
        </w:rPr>
        <w:t xml:space="preserve">v té době ještě stávající </w:t>
      </w:r>
      <w:r w:rsidRPr="00263938">
        <w:rPr>
          <w:rFonts w:ascii="Arial" w:hAnsi="Arial" w:cs="Arial"/>
          <w:color w:val="000000"/>
        </w:rPr>
        <w:t xml:space="preserve">smlouvy. </w:t>
      </w:r>
      <w:r>
        <w:rPr>
          <w:rFonts w:ascii="Arial" w:hAnsi="Arial" w:cs="Arial"/>
          <w:color w:val="000000"/>
        </w:rPr>
        <w:t>Byla provedena pracovní schůzka a n</w:t>
      </w:r>
      <w:r w:rsidRPr="00263938">
        <w:rPr>
          <w:rFonts w:ascii="Arial" w:hAnsi="Arial" w:cs="Arial"/>
          <w:color w:val="000000"/>
        </w:rPr>
        <w:t xml:space="preserve">a jejím základě byla zaslána kalkulace s vyššími limity plnění a novými pojistnými riziky, které v původní smlouvě nebyly. Pro porovnání </w:t>
      </w:r>
      <w:r>
        <w:rPr>
          <w:rFonts w:ascii="Arial" w:hAnsi="Arial" w:cs="Arial"/>
          <w:color w:val="000000"/>
        </w:rPr>
        <w:t xml:space="preserve">byla zároveň představenstvem vyžádána </w:t>
      </w:r>
      <w:r w:rsidRPr="00263938">
        <w:rPr>
          <w:rFonts w:ascii="Arial" w:hAnsi="Arial" w:cs="Arial"/>
          <w:color w:val="000000"/>
        </w:rPr>
        <w:t>kalkulac</w:t>
      </w:r>
      <w:r>
        <w:rPr>
          <w:rFonts w:ascii="Arial" w:hAnsi="Arial" w:cs="Arial"/>
          <w:color w:val="000000"/>
        </w:rPr>
        <w:t>e</w:t>
      </w:r>
      <w:r w:rsidRPr="00263938">
        <w:rPr>
          <w:rFonts w:ascii="Arial" w:hAnsi="Arial" w:cs="Arial"/>
          <w:color w:val="000000"/>
        </w:rPr>
        <w:t xml:space="preserve"> pojistky od </w:t>
      </w:r>
      <w:r>
        <w:rPr>
          <w:rFonts w:ascii="Arial" w:hAnsi="Arial" w:cs="Arial"/>
          <w:color w:val="000000"/>
        </w:rPr>
        <w:t xml:space="preserve">pojišťovny </w:t>
      </w:r>
      <w:r w:rsidRPr="00263938">
        <w:rPr>
          <w:rFonts w:ascii="Arial" w:hAnsi="Arial" w:cs="Arial"/>
          <w:color w:val="000000"/>
        </w:rPr>
        <w:t>Allianz, která na srovnatelnou pojistnou částku a rizika vyšla na 36</w:t>
      </w:r>
      <w:r>
        <w:rPr>
          <w:rFonts w:ascii="Arial" w:hAnsi="Arial" w:cs="Arial"/>
          <w:color w:val="000000"/>
        </w:rPr>
        <w:t xml:space="preserve"> </w:t>
      </w:r>
      <w:r w:rsidRPr="00263938">
        <w:rPr>
          <w:rFonts w:ascii="Arial" w:hAnsi="Arial" w:cs="Arial"/>
          <w:color w:val="000000"/>
        </w:rPr>
        <w:t>827,-Kč. Proto byla zvolena stávající pojišťovna ČSOB</w:t>
      </w:r>
      <w:r>
        <w:rPr>
          <w:rFonts w:ascii="Arial" w:hAnsi="Arial" w:cs="Arial"/>
          <w:color w:val="000000"/>
        </w:rPr>
        <w:t xml:space="preserve">. </w:t>
      </w:r>
    </w:p>
    <w:p w:rsidR="00F25E89" w:rsidRDefault="00F25E89" w:rsidP="007B6215">
      <w:pPr>
        <w:jc w:val="both"/>
        <w:rPr>
          <w:rFonts w:ascii="Arial" w:hAnsi="Arial" w:cs="Arial"/>
          <w:b/>
          <w:bCs/>
        </w:rPr>
      </w:pPr>
      <w:r w:rsidRPr="00FA34E6">
        <w:rPr>
          <w:rFonts w:ascii="Arial" w:hAnsi="Arial" w:cs="Arial"/>
          <w:b/>
          <w:bCs/>
        </w:rPr>
        <w:t>Rozsah pojištění</w:t>
      </w:r>
      <w:r>
        <w:rPr>
          <w:rFonts w:ascii="Arial" w:hAnsi="Arial" w:cs="Arial"/>
          <w:b/>
          <w:bCs/>
        </w:rPr>
        <w:t>:</w:t>
      </w:r>
    </w:p>
    <w:p w:rsidR="00F25E89" w:rsidRPr="00FA34E6" w:rsidRDefault="00F25E89" w:rsidP="00FA34E6">
      <w:pPr>
        <w:pStyle w:val="Odstavecseseznamem"/>
        <w:numPr>
          <w:ilvl w:val="0"/>
          <w:numId w:val="1"/>
        </w:numPr>
        <w:jc w:val="both"/>
        <w:rPr>
          <w:rFonts w:ascii="Arial" w:hAnsi="Arial" w:cs="Arial"/>
        </w:rPr>
      </w:pPr>
      <w:r w:rsidRPr="00FA34E6">
        <w:rPr>
          <w:rFonts w:ascii="Arial" w:hAnsi="Arial" w:cs="Arial"/>
        </w:rPr>
        <w:t>Pojištění majetku</w:t>
      </w:r>
    </w:p>
    <w:p w:rsidR="00F25E89" w:rsidRDefault="00F25E89" w:rsidP="00FA34E6">
      <w:pPr>
        <w:pStyle w:val="Odstavecseseznamem"/>
        <w:numPr>
          <w:ilvl w:val="0"/>
          <w:numId w:val="1"/>
        </w:numPr>
        <w:jc w:val="both"/>
        <w:rPr>
          <w:rFonts w:ascii="Arial" w:hAnsi="Arial" w:cs="Arial"/>
        </w:rPr>
      </w:pPr>
      <w:r w:rsidRPr="00FA34E6">
        <w:rPr>
          <w:rFonts w:ascii="Arial" w:hAnsi="Arial" w:cs="Arial"/>
        </w:rPr>
        <w:t>Pojištění odpovědnosti</w:t>
      </w:r>
    </w:p>
    <w:p w:rsidR="00F25E89" w:rsidRPr="00FA34E6" w:rsidRDefault="00F25E89" w:rsidP="00CD6CE4">
      <w:pPr>
        <w:pStyle w:val="Odstavecseseznamem"/>
        <w:ind w:left="1080"/>
        <w:jc w:val="both"/>
        <w:rPr>
          <w:rFonts w:ascii="Arial" w:hAnsi="Arial" w:cs="Arial"/>
        </w:rPr>
      </w:pPr>
    </w:p>
    <w:p w:rsidR="00F25E89" w:rsidRDefault="00F25E89" w:rsidP="007B6215">
      <w:pPr>
        <w:jc w:val="both"/>
        <w:rPr>
          <w:rFonts w:ascii="Arial" w:hAnsi="Arial" w:cs="Arial"/>
        </w:rPr>
      </w:pPr>
      <w:r>
        <w:rPr>
          <w:rFonts w:ascii="Arial" w:hAnsi="Arial" w:cs="Arial"/>
          <w:b/>
          <w:bCs/>
        </w:rPr>
        <w:t xml:space="preserve">I. </w:t>
      </w:r>
      <w:r w:rsidRPr="00CD6CE4">
        <w:rPr>
          <w:rFonts w:ascii="Arial" w:hAnsi="Arial" w:cs="Arial"/>
          <w:b/>
          <w:bCs/>
          <w:u w:val="single"/>
        </w:rPr>
        <w:t>P</w:t>
      </w:r>
      <w:r>
        <w:rPr>
          <w:rFonts w:ascii="Arial" w:hAnsi="Arial" w:cs="Arial"/>
          <w:b/>
          <w:bCs/>
          <w:u w:val="single"/>
        </w:rPr>
        <w:t>OJIŠTĚNÍ MAJETKU</w:t>
      </w:r>
      <w:r>
        <w:rPr>
          <w:rFonts w:ascii="Arial" w:hAnsi="Arial" w:cs="Arial"/>
        </w:rPr>
        <w:t xml:space="preserve"> – předmět pojištění:</w:t>
      </w:r>
    </w:p>
    <w:p w:rsidR="00F25E89" w:rsidRPr="000E58A3" w:rsidRDefault="00F25E89" w:rsidP="000E58A3">
      <w:pPr>
        <w:pStyle w:val="Odstavecseseznamem"/>
        <w:numPr>
          <w:ilvl w:val="0"/>
          <w:numId w:val="2"/>
        </w:numPr>
        <w:ind w:left="426" w:hanging="426"/>
        <w:jc w:val="both"/>
        <w:rPr>
          <w:rFonts w:ascii="Arial" w:hAnsi="Arial" w:cs="Arial"/>
        </w:rPr>
      </w:pPr>
      <w:r w:rsidRPr="00DD5131">
        <w:rPr>
          <w:rFonts w:ascii="Arial" w:hAnsi="Arial" w:cs="Arial"/>
          <w:b/>
          <w:bCs/>
        </w:rPr>
        <w:t>Bytový dům</w:t>
      </w:r>
      <w:r>
        <w:rPr>
          <w:rFonts w:ascii="Arial" w:hAnsi="Arial" w:cs="Arial"/>
        </w:rPr>
        <w:t xml:space="preserve"> - pojištění sjednané pro případ negativního působení pojistných nebezpečí</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1985"/>
        <w:gridCol w:w="1134"/>
        <w:gridCol w:w="1417"/>
        <w:gridCol w:w="1701"/>
      </w:tblGrid>
      <w:tr w:rsidR="00F25E89" w:rsidRPr="00F31B1A">
        <w:tc>
          <w:tcPr>
            <w:tcW w:w="2835" w:type="dxa"/>
          </w:tcPr>
          <w:p w:rsidR="00F25E89" w:rsidRPr="00F31B1A" w:rsidRDefault="00F25E89" w:rsidP="00F31B1A">
            <w:pPr>
              <w:spacing w:after="120" w:line="240" w:lineRule="auto"/>
              <w:rPr>
                <w:rFonts w:ascii="Arial" w:hAnsi="Arial" w:cs="Arial"/>
              </w:rPr>
            </w:pPr>
            <w:r w:rsidRPr="00F31B1A">
              <w:rPr>
                <w:rFonts w:ascii="Arial" w:hAnsi="Arial" w:cs="Arial"/>
              </w:rPr>
              <w:t>Případy negativního působení pojist. nebezpečí</w:t>
            </w:r>
          </w:p>
        </w:tc>
        <w:tc>
          <w:tcPr>
            <w:tcW w:w="1985" w:type="dxa"/>
          </w:tcPr>
          <w:p w:rsidR="00F25E89" w:rsidRPr="00F31B1A" w:rsidRDefault="00F25E89" w:rsidP="00F31B1A">
            <w:pPr>
              <w:spacing w:after="120" w:line="240" w:lineRule="auto"/>
              <w:jc w:val="center"/>
              <w:rPr>
                <w:rFonts w:ascii="Arial" w:hAnsi="Arial" w:cs="Arial"/>
              </w:rPr>
            </w:pPr>
            <w:r w:rsidRPr="00F31B1A">
              <w:rPr>
                <w:rFonts w:ascii="Arial" w:hAnsi="Arial" w:cs="Arial"/>
              </w:rPr>
              <w:t>Horní hranice PP</w:t>
            </w:r>
          </w:p>
          <w:p w:rsidR="00F25E89" w:rsidRPr="00F31B1A" w:rsidRDefault="00F25E89" w:rsidP="00F31B1A">
            <w:pPr>
              <w:spacing w:after="0" w:line="240" w:lineRule="auto"/>
              <w:jc w:val="center"/>
              <w:rPr>
                <w:rFonts w:ascii="Arial" w:hAnsi="Arial" w:cs="Arial"/>
              </w:rPr>
            </w:pPr>
            <w:r w:rsidRPr="00F31B1A">
              <w:rPr>
                <w:rFonts w:ascii="Arial" w:hAnsi="Arial" w:cs="Arial"/>
              </w:rPr>
              <w:t>v Kč</w:t>
            </w:r>
          </w:p>
        </w:tc>
        <w:tc>
          <w:tcPr>
            <w:tcW w:w="1134" w:type="dxa"/>
          </w:tcPr>
          <w:p w:rsidR="00F25E89" w:rsidRPr="00F31B1A" w:rsidRDefault="00F25E89" w:rsidP="00F31B1A">
            <w:pPr>
              <w:spacing w:after="120" w:line="240" w:lineRule="auto"/>
              <w:jc w:val="center"/>
              <w:rPr>
                <w:rFonts w:ascii="Arial" w:hAnsi="Arial" w:cs="Arial"/>
              </w:rPr>
            </w:pPr>
            <w:r w:rsidRPr="00F31B1A">
              <w:rPr>
                <w:rFonts w:ascii="Arial" w:hAnsi="Arial" w:cs="Arial"/>
              </w:rPr>
              <w:t>Způsob</w:t>
            </w:r>
          </w:p>
          <w:p w:rsidR="00F25E89" w:rsidRPr="00F31B1A" w:rsidRDefault="00F25E89" w:rsidP="00F31B1A">
            <w:pPr>
              <w:spacing w:after="120" w:line="240" w:lineRule="auto"/>
              <w:jc w:val="center"/>
              <w:rPr>
                <w:rFonts w:ascii="Arial" w:hAnsi="Arial" w:cs="Arial"/>
              </w:rPr>
            </w:pPr>
            <w:r w:rsidRPr="00F31B1A">
              <w:rPr>
                <w:rFonts w:ascii="Arial" w:hAnsi="Arial" w:cs="Arial"/>
              </w:rPr>
              <w:t>pojištění</w:t>
            </w:r>
          </w:p>
        </w:tc>
        <w:tc>
          <w:tcPr>
            <w:tcW w:w="1417" w:type="dxa"/>
          </w:tcPr>
          <w:p w:rsidR="00F25E89" w:rsidRPr="00F31B1A" w:rsidRDefault="00F25E89" w:rsidP="00F31B1A">
            <w:pPr>
              <w:spacing w:after="120" w:line="240" w:lineRule="auto"/>
              <w:jc w:val="center"/>
              <w:rPr>
                <w:rFonts w:ascii="Arial" w:hAnsi="Arial" w:cs="Arial"/>
              </w:rPr>
            </w:pPr>
            <w:r w:rsidRPr="00F31B1A">
              <w:rPr>
                <w:rFonts w:ascii="Arial" w:hAnsi="Arial" w:cs="Arial"/>
              </w:rPr>
              <w:t>Spoluúčast</w:t>
            </w:r>
          </w:p>
          <w:p w:rsidR="00F25E89" w:rsidRPr="00F31B1A" w:rsidRDefault="00F25E89" w:rsidP="00F31B1A">
            <w:pPr>
              <w:spacing w:after="120" w:line="240" w:lineRule="auto"/>
              <w:jc w:val="center"/>
              <w:rPr>
                <w:rFonts w:ascii="Arial" w:hAnsi="Arial" w:cs="Arial"/>
              </w:rPr>
            </w:pPr>
            <w:r w:rsidRPr="00F31B1A">
              <w:rPr>
                <w:rFonts w:ascii="Arial" w:hAnsi="Arial" w:cs="Arial"/>
              </w:rPr>
              <w:t>v Kč</w:t>
            </w:r>
          </w:p>
        </w:tc>
        <w:tc>
          <w:tcPr>
            <w:tcW w:w="1701" w:type="dxa"/>
          </w:tcPr>
          <w:p w:rsidR="00F25E89" w:rsidRPr="00F31B1A" w:rsidRDefault="00F25E89" w:rsidP="00F31B1A">
            <w:pPr>
              <w:spacing w:after="120" w:line="240" w:lineRule="auto"/>
              <w:jc w:val="center"/>
              <w:rPr>
                <w:rFonts w:ascii="Arial" w:hAnsi="Arial" w:cs="Arial"/>
              </w:rPr>
            </w:pPr>
            <w:r w:rsidRPr="00F31B1A">
              <w:rPr>
                <w:rFonts w:ascii="Arial" w:hAnsi="Arial" w:cs="Arial"/>
              </w:rPr>
              <w:t>Roční pojistné</w:t>
            </w:r>
          </w:p>
          <w:p w:rsidR="00F25E89" w:rsidRPr="00F31B1A" w:rsidRDefault="00F25E89" w:rsidP="00F31B1A">
            <w:pPr>
              <w:spacing w:after="120" w:line="240" w:lineRule="auto"/>
              <w:jc w:val="center"/>
              <w:rPr>
                <w:rFonts w:ascii="Arial" w:hAnsi="Arial" w:cs="Arial"/>
              </w:rPr>
            </w:pPr>
            <w:r w:rsidRPr="00F31B1A">
              <w:rPr>
                <w:rFonts w:ascii="Arial" w:hAnsi="Arial" w:cs="Arial"/>
              </w:rPr>
              <w:t>v Kč</w:t>
            </w:r>
          </w:p>
        </w:tc>
      </w:tr>
      <w:tr w:rsidR="00F25E89" w:rsidRPr="00F31B1A">
        <w:tc>
          <w:tcPr>
            <w:tcW w:w="2835" w:type="dxa"/>
          </w:tcPr>
          <w:p w:rsidR="00F25E89" w:rsidRPr="00F31B1A" w:rsidRDefault="00F25E89" w:rsidP="00F31B1A">
            <w:pPr>
              <w:spacing w:after="120" w:line="240" w:lineRule="auto"/>
              <w:rPr>
                <w:rFonts w:ascii="Arial" w:hAnsi="Arial" w:cs="Arial"/>
              </w:rPr>
            </w:pPr>
            <w:r w:rsidRPr="00F31B1A">
              <w:rPr>
                <w:rFonts w:ascii="Arial" w:hAnsi="Arial" w:cs="Arial"/>
              </w:rPr>
              <w:t>FLEXA</w:t>
            </w:r>
          </w:p>
        </w:tc>
        <w:tc>
          <w:tcPr>
            <w:tcW w:w="1985" w:type="dxa"/>
          </w:tcPr>
          <w:p w:rsidR="00F25E89" w:rsidRPr="00F31B1A" w:rsidRDefault="00F25E89" w:rsidP="00F31B1A">
            <w:pPr>
              <w:spacing w:after="120" w:line="240" w:lineRule="auto"/>
              <w:jc w:val="center"/>
              <w:rPr>
                <w:rFonts w:ascii="Arial" w:hAnsi="Arial" w:cs="Arial"/>
              </w:rPr>
            </w:pPr>
            <w:r w:rsidRPr="00F31B1A">
              <w:rPr>
                <w:rFonts w:ascii="Arial" w:hAnsi="Arial" w:cs="Arial"/>
              </w:rPr>
              <w:t>49 000 000</w:t>
            </w:r>
          </w:p>
        </w:tc>
        <w:tc>
          <w:tcPr>
            <w:tcW w:w="1134" w:type="dxa"/>
          </w:tcPr>
          <w:p w:rsidR="00F25E89" w:rsidRPr="00F31B1A" w:rsidRDefault="00F25E89" w:rsidP="00F31B1A">
            <w:pPr>
              <w:spacing w:after="120" w:line="240" w:lineRule="auto"/>
              <w:jc w:val="both"/>
              <w:rPr>
                <w:rFonts w:ascii="Arial" w:hAnsi="Arial" w:cs="Arial"/>
              </w:rPr>
            </w:pPr>
          </w:p>
        </w:tc>
        <w:tc>
          <w:tcPr>
            <w:tcW w:w="1417" w:type="dxa"/>
          </w:tcPr>
          <w:p w:rsidR="00F25E89" w:rsidRPr="00F31B1A" w:rsidRDefault="00F25E89" w:rsidP="00F31B1A">
            <w:pPr>
              <w:spacing w:after="120" w:line="240" w:lineRule="auto"/>
              <w:jc w:val="center"/>
              <w:rPr>
                <w:rFonts w:ascii="Arial" w:hAnsi="Arial" w:cs="Arial"/>
              </w:rPr>
            </w:pPr>
            <w:r w:rsidRPr="00F31B1A">
              <w:rPr>
                <w:rFonts w:ascii="Arial" w:hAnsi="Arial" w:cs="Arial"/>
              </w:rPr>
              <w:t xml:space="preserve">5 000 </w:t>
            </w:r>
          </w:p>
        </w:tc>
        <w:tc>
          <w:tcPr>
            <w:tcW w:w="1701" w:type="dxa"/>
          </w:tcPr>
          <w:p w:rsidR="00F25E89" w:rsidRPr="00F31B1A" w:rsidRDefault="00F25E89" w:rsidP="00F31B1A">
            <w:pPr>
              <w:spacing w:after="120" w:line="240" w:lineRule="auto"/>
              <w:jc w:val="right"/>
              <w:rPr>
                <w:rFonts w:ascii="Arial" w:hAnsi="Arial" w:cs="Arial"/>
              </w:rPr>
            </w:pPr>
            <w:r w:rsidRPr="00F31B1A">
              <w:rPr>
                <w:rFonts w:ascii="Arial" w:hAnsi="Arial" w:cs="Arial"/>
              </w:rPr>
              <w:t>3 585</w:t>
            </w:r>
          </w:p>
        </w:tc>
      </w:tr>
      <w:tr w:rsidR="00F25E89" w:rsidRPr="00F31B1A">
        <w:tc>
          <w:tcPr>
            <w:tcW w:w="2835" w:type="dxa"/>
          </w:tcPr>
          <w:p w:rsidR="00F25E89" w:rsidRPr="00F31B1A" w:rsidRDefault="00F25E89" w:rsidP="00F31B1A">
            <w:pPr>
              <w:spacing w:after="120" w:line="240" w:lineRule="auto"/>
              <w:rPr>
                <w:rFonts w:ascii="Arial" w:hAnsi="Arial" w:cs="Arial"/>
              </w:rPr>
            </w:pPr>
            <w:r w:rsidRPr="00F31B1A">
              <w:rPr>
                <w:rFonts w:ascii="Arial" w:hAnsi="Arial" w:cs="Arial"/>
              </w:rPr>
              <w:t>Dopl. živelní nebezpečí</w:t>
            </w:r>
          </w:p>
        </w:tc>
        <w:tc>
          <w:tcPr>
            <w:tcW w:w="1985" w:type="dxa"/>
          </w:tcPr>
          <w:p w:rsidR="00F25E89" w:rsidRPr="00F31B1A" w:rsidRDefault="00F25E89" w:rsidP="00F31B1A">
            <w:pPr>
              <w:spacing w:after="120" w:line="240" w:lineRule="auto"/>
              <w:jc w:val="center"/>
              <w:rPr>
                <w:rFonts w:ascii="Arial" w:hAnsi="Arial" w:cs="Arial"/>
              </w:rPr>
            </w:pPr>
            <w:r w:rsidRPr="00F31B1A">
              <w:rPr>
                <w:rFonts w:ascii="Arial" w:hAnsi="Arial" w:cs="Arial"/>
              </w:rPr>
              <w:t>20 000 000</w:t>
            </w:r>
          </w:p>
        </w:tc>
        <w:tc>
          <w:tcPr>
            <w:tcW w:w="1134" w:type="dxa"/>
          </w:tcPr>
          <w:p w:rsidR="00F25E89" w:rsidRPr="00F31B1A" w:rsidRDefault="00F25E89" w:rsidP="00F31B1A">
            <w:pPr>
              <w:spacing w:after="120" w:line="240" w:lineRule="auto"/>
              <w:jc w:val="center"/>
              <w:rPr>
                <w:rFonts w:ascii="Arial" w:hAnsi="Arial" w:cs="Arial"/>
              </w:rPr>
            </w:pPr>
            <w:r w:rsidRPr="00F31B1A">
              <w:rPr>
                <w:rFonts w:ascii="Arial" w:hAnsi="Arial" w:cs="Arial"/>
              </w:rPr>
              <w:t>Z</w:t>
            </w:r>
          </w:p>
        </w:tc>
        <w:tc>
          <w:tcPr>
            <w:tcW w:w="1417" w:type="dxa"/>
          </w:tcPr>
          <w:p w:rsidR="00F25E89" w:rsidRPr="00F31B1A" w:rsidRDefault="00F25E89" w:rsidP="00F31B1A">
            <w:pPr>
              <w:spacing w:after="120" w:line="240" w:lineRule="auto"/>
              <w:jc w:val="center"/>
              <w:rPr>
                <w:rFonts w:ascii="Arial" w:hAnsi="Arial" w:cs="Arial"/>
              </w:rPr>
            </w:pPr>
            <w:r w:rsidRPr="00F31B1A">
              <w:rPr>
                <w:rFonts w:ascii="Arial" w:hAnsi="Arial" w:cs="Arial"/>
              </w:rPr>
              <w:t>5 000</w:t>
            </w:r>
          </w:p>
        </w:tc>
        <w:tc>
          <w:tcPr>
            <w:tcW w:w="1701" w:type="dxa"/>
          </w:tcPr>
          <w:p w:rsidR="00F25E89" w:rsidRPr="00F31B1A" w:rsidRDefault="00F25E89" w:rsidP="00F31B1A">
            <w:pPr>
              <w:spacing w:after="120" w:line="240" w:lineRule="auto"/>
              <w:jc w:val="right"/>
              <w:rPr>
                <w:rFonts w:ascii="Arial" w:hAnsi="Arial" w:cs="Arial"/>
              </w:rPr>
            </w:pPr>
            <w:r w:rsidRPr="00F31B1A">
              <w:rPr>
                <w:rFonts w:ascii="Arial" w:hAnsi="Arial" w:cs="Arial"/>
              </w:rPr>
              <w:t>3 671</w:t>
            </w:r>
          </w:p>
        </w:tc>
      </w:tr>
      <w:tr w:rsidR="00F25E89" w:rsidRPr="00F31B1A">
        <w:tc>
          <w:tcPr>
            <w:tcW w:w="2835" w:type="dxa"/>
          </w:tcPr>
          <w:p w:rsidR="00F25E89" w:rsidRPr="00F31B1A" w:rsidRDefault="00F25E89" w:rsidP="00F31B1A">
            <w:pPr>
              <w:spacing w:after="120" w:line="240" w:lineRule="auto"/>
              <w:rPr>
                <w:rFonts w:ascii="Arial" w:hAnsi="Arial" w:cs="Arial"/>
              </w:rPr>
            </w:pPr>
            <w:r w:rsidRPr="00F31B1A">
              <w:rPr>
                <w:rFonts w:ascii="Arial" w:hAnsi="Arial" w:cs="Arial"/>
              </w:rPr>
              <w:t>Vandalismus</w:t>
            </w:r>
          </w:p>
        </w:tc>
        <w:tc>
          <w:tcPr>
            <w:tcW w:w="1985" w:type="dxa"/>
          </w:tcPr>
          <w:p w:rsidR="00F25E89" w:rsidRPr="00F31B1A" w:rsidRDefault="00F25E89" w:rsidP="00F31B1A">
            <w:pPr>
              <w:spacing w:after="120" w:line="240" w:lineRule="auto"/>
              <w:rPr>
                <w:rFonts w:ascii="Arial" w:hAnsi="Arial" w:cs="Arial"/>
              </w:rPr>
            </w:pPr>
            <w:r w:rsidRPr="00F31B1A">
              <w:rPr>
                <w:rFonts w:ascii="Arial" w:hAnsi="Arial" w:cs="Arial"/>
              </w:rPr>
              <w:t xml:space="preserve">             40 000 </w:t>
            </w:r>
          </w:p>
        </w:tc>
        <w:tc>
          <w:tcPr>
            <w:tcW w:w="1134" w:type="dxa"/>
          </w:tcPr>
          <w:p w:rsidR="00F25E89" w:rsidRPr="00F31B1A" w:rsidRDefault="00F25E89" w:rsidP="00F31B1A">
            <w:pPr>
              <w:spacing w:after="120" w:line="240" w:lineRule="auto"/>
              <w:jc w:val="center"/>
              <w:rPr>
                <w:rFonts w:ascii="Arial" w:hAnsi="Arial" w:cs="Arial"/>
              </w:rPr>
            </w:pPr>
            <w:r w:rsidRPr="00F31B1A">
              <w:rPr>
                <w:rFonts w:ascii="Arial" w:hAnsi="Arial" w:cs="Arial"/>
              </w:rPr>
              <w:t>1R</w:t>
            </w:r>
          </w:p>
        </w:tc>
        <w:tc>
          <w:tcPr>
            <w:tcW w:w="1417" w:type="dxa"/>
          </w:tcPr>
          <w:p w:rsidR="00F25E89" w:rsidRPr="00F31B1A" w:rsidRDefault="00F25E89" w:rsidP="00F31B1A">
            <w:pPr>
              <w:spacing w:after="120" w:line="240" w:lineRule="auto"/>
              <w:jc w:val="center"/>
              <w:rPr>
                <w:rFonts w:ascii="Arial" w:hAnsi="Arial" w:cs="Arial"/>
              </w:rPr>
            </w:pPr>
            <w:r w:rsidRPr="00F31B1A">
              <w:rPr>
                <w:rFonts w:ascii="Arial" w:hAnsi="Arial" w:cs="Arial"/>
              </w:rPr>
              <w:t>1 000</w:t>
            </w:r>
          </w:p>
        </w:tc>
        <w:tc>
          <w:tcPr>
            <w:tcW w:w="1701" w:type="dxa"/>
          </w:tcPr>
          <w:p w:rsidR="00F25E89" w:rsidRPr="00F31B1A" w:rsidRDefault="00F25E89" w:rsidP="00F31B1A">
            <w:pPr>
              <w:spacing w:after="120" w:line="240" w:lineRule="auto"/>
              <w:jc w:val="right"/>
              <w:rPr>
                <w:rFonts w:ascii="Arial" w:hAnsi="Arial" w:cs="Arial"/>
              </w:rPr>
            </w:pPr>
            <w:r w:rsidRPr="00F31B1A">
              <w:rPr>
                <w:rFonts w:ascii="Arial" w:hAnsi="Arial" w:cs="Arial"/>
              </w:rPr>
              <w:t>383</w:t>
            </w:r>
          </w:p>
        </w:tc>
      </w:tr>
      <w:tr w:rsidR="00F25E89" w:rsidRPr="00F31B1A">
        <w:tc>
          <w:tcPr>
            <w:tcW w:w="2835" w:type="dxa"/>
          </w:tcPr>
          <w:p w:rsidR="00F25E89" w:rsidRPr="00F31B1A" w:rsidRDefault="00F25E89" w:rsidP="00F31B1A">
            <w:pPr>
              <w:spacing w:after="0" w:line="240" w:lineRule="auto"/>
              <w:rPr>
                <w:rFonts w:ascii="Arial" w:hAnsi="Arial" w:cs="Arial"/>
              </w:rPr>
            </w:pPr>
            <w:r w:rsidRPr="00F31B1A">
              <w:rPr>
                <w:rFonts w:ascii="Arial" w:hAnsi="Arial" w:cs="Arial"/>
              </w:rPr>
              <w:t>Povodeň nebo záplava</w:t>
            </w:r>
          </w:p>
        </w:tc>
        <w:tc>
          <w:tcPr>
            <w:tcW w:w="1985" w:type="dxa"/>
          </w:tcPr>
          <w:p w:rsidR="00F25E89" w:rsidRPr="00F31B1A" w:rsidRDefault="00F25E89" w:rsidP="00F31B1A">
            <w:pPr>
              <w:spacing w:after="120" w:line="240" w:lineRule="auto"/>
              <w:jc w:val="center"/>
              <w:rPr>
                <w:rFonts w:ascii="Arial" w:hAnsi="Arial" w:cs="Arial"/>
              </w:rPr>
            </w:pPr>
            <w:r w:rsidRPr="00F31B1A">
              <w:rPr>
                <w:rFonts w:ascii="Arial" w:hAnsi="Arial" w:cs="Arial"/>
              </w:rPr>
              <w:t xml:space="preserve">  1 000 000</w:t>
            </w:r>
          </w:p>
        </w:tc>
        <w:tc>
          <w:tcPr>
            <w:tcW w:w="1134" w:type="dxa"/>
          </w:tcPr>
          <w:p w:rsidR="00F25E89" w:rsidRPr="00F31B1A" w:rsidRDefault="00F25E89" w:rsidP="00F31B1A">
            <w:pPr>
              <w:spacing w:after="120" w:line="240" w:lineRule="auto"/>
              <w:jc w:val="center"/>
              <w:rPr>
                <w:rFonts w:ascii="Arial" w:hAnsi="Arial" w:cs="Arial"/>
              </w:rPr>
            </w:pPr>
            <w:r w:rsidRPr="00F31B1A">
              <w:rPr>
                <w:rFonts w:ascii="Arial" w:hAnsi="Arial" w:cs="Arial"/>
              </w:rPr>
              <w:t>Z</w:t>
            </w:r>
          </w:p>
        </w:tc>
        <w:tc>
          <w:tcPr>
            <w:tcW w:w="1417" w:type="dxa"/>
          </w:tcPr>
          <w:p w:rsidR="00F25E89" w:rsidRPr="00F31B1A" w:rsidRDefault="00F25E89" w:rsidP="00F31B1A">
            <w:pPr>
              <w:spacing w:after="120" w:line="240" w:lineRule="auto"/>
              <w:jc w:val="center"/>
              <w:rPr>
                <w:rFonts w:ascii="Arial" w:hAnsi="Arial" w:cs="Arial"/>
              </w:rPr>
            </w:pPr>
            <w:r w:rsidRPr="00F31B1A">
              <w:rPr>
                <w:rFonts w:ascii="Arial" w:hAnsi="Arial" w:cs="Arial"/>
              </w:rPr>
              <w:t>5 000</w:t>
            </w:r>
          </w:p>
        </w:tc>
        <w:tc>
          <w:tcPr>
            <w:tcW w:w="1701" w:type="dxa"/>
          </w:tcPr>
          <w:p w:rsidR="00F25E89" w:rsidRPr="00F31B1A" w:rsidRDefault="00F25E89" w:rsidP="00F31B1A">
            <w:pPr>
              <w:spacing w:after="120" w:line="240" w:lineRule="auto"/>
              <w:jc w:val="right"/>
              <w:rPr>
                <w:rFonts w:ascii="Arial" w:hAnsi="Arial" w:cs="Arial"/>
              </w:rPr>
            </w:pPr>
            <w:r w:rsidRPr="00F31B1A">
              <w:rPr>
                <w:rFonts w:ascii="Arial" w:hAnsi="Arial" w:cs="Arial"/>
              </w:rPr>
              <w:t>3 440</w:t>
            </w:r>
          </w:p>
        </w:tc>
      </w:tr>
    </w:tbl>
    <w:p w:rsidR="00F25E89" w:rsidRDefault="00F25E89" w:rsidP="00DD5131">
      <w:pPr>
        <w:spacing w:after="0" w:line="240" w:lineRule="auto"/>
        <w:jc w:val="both"/>
        <w:rPr>
          <w:rFonts w:ascii="Arial" w:hAnsi="Arial" w:cs="Arial"/>
          <w:b/>
          <w:bCs/>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16D1B">
        <w:rPr>
          <w:rFonts w:ascii="Arial" w:hAnsi="Arial" w:cs="Arial"/>
          <w:b/>
          <w:bCs/>
          <w:i/>
          <w:iCs/>
        </w:rPr>
        <w:t>11</w:t>
      </w:r>
      <w:r>
        <w:rPr>
          <w:rFonts w:ascii="Arial" w:hAnsi="Arial" w:cs="Arial"/>
          <w:b/>
          <w:bCs/>
          <w:i/>
          <w:iCs/>
        </w:rPr>
        <w:t> </w:t>
      </w:r>
      <w:r w:rsidRPr="00A16D1B">
        <w:rPr>
          <w:rFonts w:ascii="Arial" w:hAnsi="Arial" w:cs="Arial"/>
          <w:b/>
          <w:bCs/>
          <w:i/>
          <w:iCs/>
        </w:rPr>
        <w:t>079</w:t>
      </w:r>
    </w:p>
    <w:p w:rsidR="00F25E89" w:rsidRPr="00A16D1B" w:rsidRDefault="00F25E89" w:rsidP="00DD5131">
      <w:pPr>
        <w:spacing w:after="0" w:line="240" w:lineRule="auto"/>
        <w:jc w:val="both"/>
        <w:rPr>
          <w:rFonts w:ascii="Arial" w:hAnsi="Arial" w:cs="Arial"/>
          <w:b/>
          <w:bCs/>
          <w:i/>
          <w:iCs/>
        </w:rPr>
      </w:pPr>
    </w:p>
    <w:p w:rsidR="00F25E89" w:rsidRPr="009F66B9" w:rsidRDefault="00F25E89" w:rsidP="000E58A3">
      <w:pPr>
        <w:spacing w:after="120"/>
        <w:jc w:val="both"/>
        <w:rPr>
          <w:rFonts w:ascii="Arial" w:hAnsi="Arial" w:cs="Arial"/>
          <w:highlight w:val="lightGray"/>
        </w:rPr>
      </w:pPr>
      <w:r w:rsidRPr="009F66B9">
        <w:rPr>
          <w:rFonts w:ascii="Arial" w:hAnsi="Arial" w:cs="Arial"/>
          <w:highlight w:val="lightGray"/>
        </w:rPr>
        <w:t>FLEXA</w:t>
      </w:r>
      <w:r w:rsidRPr="009F66B9">
        <w:rPr>
          <w:rFonts w:ascii="Arial" w:hAnsi="Arial" w:cs="Arial"/>
          <w:highlight w:val="lightGray"/>
        </w:rPr>
        <w:tab/>
      </w:r>
      <w:r w:rsidRPr="009F66B9">
        <w:rPr>
          <w:rFonts w:ascii="Arial" w:hAnsi="Arial" w:cs="Arial"/>
          <w:highlight w:val="lightGray"/>
        </w:rPr>
        <w:tab/>
      </w:r>
      <w:r w:rsidRPr="009F66B9">
        <w:rPr>
          <w:rFonts w:ascii="Arial" w:hAnsi="Arial" w:cs="Arial"/>
          <w:highlight w:val="lightGray"/>
        </w:rPr>
        <w:tab/>
      </w:r>
      <w:r w:rsidRPr="009F66B9">
        <w:rPr>
          <w:rFonts w:ascii="Arial" w:hAnsi="Arial" w:cs="Arial"/>
          <w:highlight w:val="lightGray"/>
        </w:rPr>
        <w:tab/>
        <w:t xml:space="preserve">a) - VPP BD 2014  část </w:t>
      </w:r>
      <w:r w:rsidRPr="00E7091B">
        <w:rPr>
          <w:rFonts w:ascii="Arial" w:hAnsi="Arial" w:cs="Arial"/>
          <w:highlight w:val="yellow"/>
        </w:rPr>
        <w:t>B.</w:t>
      </w:r>
      <w:r w:rsidRPr="009F66B9">
        <w:rPr>
          <w:rFonts w:ascii="Arial" w:hAnsi="Arial" w:cs="Arial"/>
          <w:highlight w:val="lightGray"/>
        </w:rPr>
        <w:t xml:space="preserve"> čl. I odst.  1</w:t>
      </w:r>
    </w:p>
    <w:p w:rsidR="00F25E89" w:rsidRPr="009F66B9" w:rsidRDefault="00F25E89" w:rsidP="000E58A3">
      <w:pPr>
        <w:spacing w:after="120"/>
        <w:jc w:val="both"/>
        <w:rPr>
          <w:rFonts w:ascii="Arial" w:hAnsi="Arial" w:cs="Arial"/>
          <w:highlight w:val="lightGray"/>
        </w:rPr>
      </w:pPr>
      <w:r w:rsidRPr="009F66B9">
        <w:rPr>
          <w:rFonts w:ascii="Arial" w:hAnsi="Arial" w:cs="Arial"/>
          <w:highlight w:val="lightGray"/>
        </w:rPr>
        <w:t>Doplňková živelní nebezpečí</w:t>
      </w:r>
      <w:r w:rsidRPr="009F66B9">
        <w:rPr>
          <w:rFonts w:ascii="Arial" w:hAnsi="Arial" w:cs="Arial"/>
          <w:highlight w:val="lightGray"/>
        </w:rPr>
        <w:tab/>
        <w:t xml:space="preserve">b) - VPP BD 2014  část </w:t>
      </w:r>
      <w:r w:rsidRPr="00E7091B">
        <w:rPr>
          <w:rFonts w:ascii="Arial" w:hAnsi="Arial" w:cs="Arial"/>
          <w:highlight w:val="yellow"/>
        </w:rPr>
        <w:t>B</w:t>
      </w:r>
      <w:r w:rsidRPr="009F66B9">
        <w:rPr>
          <w:rFonts w:ascii="Arial" w:hAnsi="Arial" w:cs="Arial"/>
          <w:highlight w:val="lightGray"/>
        </w:rPr>
        <w:t>. čl. I odst.  2</w:t>
      </w:r>
    </w:p>
    <w:p w:rsidR="00F25E89" w:rsidRPr="009F66B9" w:rsidRDefault="00F25E89" w:rsidP="007B6215">
      <w:pPr>
        <w:jc w:val="both"/>
        <w:rPr>
          <w:rFonts w:ascii="Arial" w:hAnsi="Arial" w:cs="Arial"/>
          <w:highlight w:val="lightGray"/>
        </w:rPr>
      </w:pPr>
      <w:r w:rsidRPr="009F66B9">
        <w:rPr>
          <w:rFonts w:ascii="Arial" w:hAnsi="Arial" w:cs="Arial"/>
          <w:highlight w:val="lightGray"/>
        </w:rPr>
        <w:t>Vandalismus</w:t>
      </w:r>
      <w:r w:rsidRPr="009F66B9">
        <w:rPr>
          <w:rFonts w:ascii="Arial" w:hAnsi="Arial" w:cs="Arial"/>
          <w:highlight w:val="lightGray"/>
        </w:rPr>
        <w:tab/>
      </w:r>
      <w:r w:rsidRPr="009F66B9">
        <w:rPr>
          <w:rFonts w:ascii="Arial" w:hAnsi="Arial" w:cs="Arial"/>
          <w:highlight w:val="lightGray"/>
        </w:rPr>
        <w:tab/>
      </w:r>
      <w:r w:rsidRPr="009F66B9">
        <w:rPr>
          <w:rFonts w:ascii="Arial" w:hAnsi="Arial" w:cs="Arial"/>
          <w:highlight w:val="lightGray"/>
        </w:rPr>
        <w:tab/>
        <w:t xml:space="preserve">c) - VPP BD 2014  část </w:t>
      </w:r>
      <w:r w:rsidRPr="00E7091B">
        <w:rPr>
          <w:rFonts w:ascii="Arial" w:hAnsi="Arial" w:cs="Arial"/>
          <w:highlight w:val="yellow"/>
        </w:rPr>
        <w:t>B</w:t>
      </w:r>
      <w:r w:rsidRPr="009F66B9">
        <w:rPr>
          <w:rFonts w:ascii="Arial" w:hAnsi="Arial" w:cs="Arial"/>
          <w:highlight w:val="lightGray"/>
        </w:rPr>
        <w:t>. čl. I odst.  4</w:t>
      </w:r>
    </w:p>
    <w:p w:rsidR="00F25E89" w:rsidRDefault="00F25E89" w:rsidP="00BC1C7B">
      <w:pPr>
        <w:spacing w:after="120" w:line="240" w:lineRule="auto"/>
        <w:jc w:val="both"/>
        <w:rPr>
          <w:rFonts w:ascii="Arial" w:hAnsi="Arial" w:cs="Arial"/>
        </w:rPr>
      </w:pPr>
      <w:r w:rsidRPr="009F66B9">
        <w:rPr>
          <w:rFonts w:ascii="Arial" w:hAnsi="Arial" w:cs="Arial"/>
          <w:highlight w:val="lightGray"/>
        </w:rPr>
        <w:t>Povodeň nebo záplava</w:t>
      </w:r>
      <w:r w:rsidRPr="009F66B9">
        <w:rPr>
          <w:rFonts w:ascii="Arial" w:hAnsi="Arial" w:cs="Arial"/>
          <w:highlight w:val="lightGray"/>
        </w:rPr>
        <w:tab/>
        <w:t xml:space="preserve">d) - VPP BD 2014  část </w:t>
      </w:r>
      <w:r w:rsidRPr="00E7091B">
        <w:rPr>
          <w:rFonts w:ascii="Arial" w:hAnsi="Arial" w:cs="Arial"/>
          <w:highlight w:val="yellow"/>
        </w:rPr>
        <w:t>B</w:t>
      </w:r>
      <w:r w:rsidRPr="009F66B9">
        <w:rPr>
          <w:rFonts w:ascii="Arial" w:hAnsi="Arial" w:cs="Arial"/>
          <w:highlight w:val="lightGray"/>
        </w:rPr>
        <w:t>. čl. I odst.  3</w:t>
      </w:r>
    </w:p>
    <w:p w:rsidR="00F25E89" w:rsidRDefault="00F25E89" w:rsidP="007B6215">
      <w:pPr>
        <w:jc w:val="both"/>
        <w:rPr>
          <w:rFonts w:ascii="Arial" w:hAnsi="Arial" w:cs="Arial"/>
          <w:i/>
          <w:iCs/>
        </w:rPr>
      </w:pPr>
      <w:r w:rsidRPr="00DD5131">
        <w:rPr>
          <w:rFonts w:ascii="Arial" w:hAnsi="Arial" w:cs="Arial"/>
          <w:i/>
          <w:iCs/>
        </w:rPr>
        <w:t xml:space="preserve">Obsah jednotlivých odst. bude </w:t>
      </w:r>
      <w:r>
        <w:rPr>
          <w:rFonts w:ascii="Arial" w:hAnsi="Arial" w:cs="Arial"/>
          <w:i/>
          <w:iCs/>
        </w:rPr>
        <w:t>citován.</w:t>
      </w:r>
    </w:p>
    <w:p w:rsidR="00F25E89" w:rsidRPr="00F63AEF" w:rsidRDefault="00F25E89" w:rsidP="007B6215">
      <w:pPr>
        <w:jc w:val="both"/>
        <w:rPr>
          <w:rFonts w:ascii="Arial" w:hAnsi="Arial" w:cs="Arial"/>
        </w:rPr>
      </w:pPr>
      <w:r>
        <w:rPr>
          <w:rFonts w:ascii="Arial" w:hAnsi="Arial" w:cs="Arial"/>
        </w:rPr>
        <w:lastRenderedPageBreak/>
        <w:t xml:space="preserve">Pojištění je sjednáno pro případ </w:t>
      </w:r>
      <w:r w:rsidRPr="00EB7AA4">
        <w:rPr>
          <w:rFonts w:ascii="Arial" w:hAnsi="Arial" w:cs="Arial"/>
          <w:u w:val="single"/>
        </w:rPr>
        <w:t>poškození</w:t>
      </w:r>
      <w:r w:rsidRPr="00EB7AA4">
        <w:rPr>
          <w:rFonts w:ascii="Arial" w:hAnsi="Arial" w:cs="Arial"/>
        </w:rPr>
        <w:t xml:space="preserve"> </w:t>
      </w:r>
      <w:r>
        <w:rPr>
          <w:rFonts w:ascii="Arial" w:hAnsi="Arial" w:cs="Arial"/>
        </w:rPr>
        <w:t xml:space="preserve">nebo </w:t>
      </w:r>
      <w:r w:rsidRPr="00EB7AA4">
        <w:rPr>
          <w:rFonts w:ascii="Arial" w:hAnsi="Arial" w:cs="Arial"/>
          <w:u w:val="single"/>
        </w:rPr>
        <w:t>zničení</w:t>
      </w:r>
      <w:r>
        <w:rPr>
          <w:rFonts w:ascii="Arial" w:hAnsi="Arial" w:cs="Arial"/>
        </w:rPr>
        <w:t xml:space="preserve"> předmětu pojištění způsobené pojistným nebezpečím:</w:t>
      </w:r>
    </w:p>
    <w:p w:rsidR="00F25E89" w:rsidRDefault="00F25E89" w:rsidP="00F63AEF">
      <w:pPr>
        <w:pStyle w:val="Odstavecseseznamem"/>
        <w:numPr>
          <w:ilvl w:val="0"/>
          <w:numId w:val="7"/>
        </w:numPr>
        <w:spacing w:after="120" w:line="240" w:lineRule="auto"/>
        <w:jc w:val="both"/>
        <w:rPr>
          <w:rFonts w:ascii="Arial" w:hAnsi="Arial" w:cs="Arial"/>
        </w:rPr>
      </w:pPr>
      <w:r w:rsidRPr="00EB7AA4">
        <w:rPr>
          <w:rFonts w:ascii="Arial" w:hAnsi="Arial" w:cs="Arial"/>
          <w:u w:val="single"/>
        </w:rPr>
        <w:t>FLEXA</w:t>
      </w:r>
      <w:r>
        <w:rPr>
          <w:rFonts w:ascii="Arial" w:hAnsi="Arial" w:cs="Arial"/>
        </w:rPr>
        <w:t xml:space="preserve"> obsahuje </w:t>
      </w:r>
    </w:p>
    <w:p w:rsidR="00F25E89" w:rsidRDefault="00F25E89" w:rsidP="00EB7AA4">
      <w:pPr>
        <w:pStyle w:val="Odstavecseseznamem"/>
        <w:numPr>
          <w:ilvl w:val="0"/>
          <w:numId w:val="8"/>
        </w:numPr>
        <w:spacing w:after="120" w:line="240" w:lineRule="auto"/>
        <w:jc w:val="both"/>
        <w:rPr>
          <w:rFonts w:ascii="Arial" w:hAnsi="Arial" w:cs="Arial"/>
        </w:rPr>
      </w:pPr>
      <w:r>
        <w:rPr>
          <w:rFonts w:ascii="Arial" w:hAnsi="Arial" w:cs="Arial"/>
        </w:rPr>
        <w:t>Požár,</w:t>
      </w:r>
    </w:p>
    <w:p w:rsidR="00F25E89" w:rsidRDefault="00F25E89" w:rsidP="00EB7AA4">
      <w:pPr>
        <w:pStyle w:val="Odstavecseseznamem"/>
        <w:numPr>
          <w:ilvl w:val="0"/>
          <w:numId w:val="8"/>
        </w:numPr>
        <w:spacing w:after="120" w:line="240" w:lineRule="auto"/>
        <w:jc w:val="both"/>
        <w:rPr>
          <w:rFonts w:ascii="Arial" w:hAnsi="Arial" w:cs="Arial"/>
        </w:rPr>
      </w:pPr>
      <w:r>
        <w:rPr>
          <w:rFonts w:ascii="Arial" w:hAnsi="Arial" w:cs="Arial"/>
        </w:rPr>
        <w:t>Výbuch,</w:t>
      </w:r>
    </w:p>
    <w:p w:rsidR="00F25E89" w:rsidRDefault="00F25E89" w:rsidP="00EB7AA4">
      <w:pPr>
        <w:pStyle w:val="Odstavecseseznamem"/>
        <w:numPr>
          <w:ilvl w:val="0"/>
          <w:numId w:val="8"/>
        </w:numPr>
        <w:spacing w:after="120" w:line="240" w:lineRule="auto"/>
        <w:jc w:val="both"/>
        <w:rPr>
          <w:rFonts w:ascii="Arial" w:hAnsi="Arial" w:cs="Arial"/>
        </w:rPr>
      </w:pPr>
      <w:r>
        <w:rPr>
          <w:rFonts w:ascii="Arial" w:hAnsi="Arial" w:cs="Arial"/>
        </w:rPr>
        <w:t>Úder blesku,</w:t>
      </w:r>
    </w:p>
    <w:p w:rsidR="00F25E89" w:rsidRDefault="00F25E89" w:rsidP="00EB7AA4">
      <w:pPr>
        <w:pStyle w:val="Odstavecseseznamem"/>
        <w:numPr>
          <w:ilvl w:val="0"/>
          <w:numId w:val="8"/>
        </w:numPr>
        <w:spacing w:after="120" w:line="240" w:lineRule="auto"/>
        <w:jc w:val="both"/>
        <w:rPr>
          <w:rFonts w:ascii="Arial" w:hAnsi="Arial" w:cs="Arial"/>
        </w:rPr>
      </w:pPr>
      <w:r>
        <w:rPr>
          <w:rFonts w:ascii="Arial" w:hAnsi="Arial" w:cs="Arial"/>
        </w:rPr>
        <w:t>Náraz nebo zřícení pilotovaného letícího tělesa, jeho částí nebo nákladu,</w:t>
      </w:r>
    </w:p>
    <w:p w:rsidR="00F25E89" w:rsidRPr="00F63AEF" w:rsidRDefault="00F25E89" w:rsidP="00EB7AA4">
      <w:pPr>
        <w:pStyle w:val="Odstavecseseznamem"/>
        <w:numPr>
          <w:ilvl w:val="0"/>
          <w:numId w:val="8"/>
        </w:numPr>
        <w:spacing w:after="120" w:line="240" w:lineRule="auto"/>
        <w:jc w:val="both"/>
        <w:rPr>
          <w:rFonts w:ascii="Arial" w:hAnsi="Arial" w:cs="Arial"/>
        </w:rPr>
      </w:pPr>
      <w:r>
        <w:rPr>
          <w:rFonts w:ascii="Arial" w:hAnsi="Arial" w:cs="Arial"/>
        </w:rPr>
        <w:t>Poškození nebo zničení skla jakoukoliv událostí, která nastane nečekaně a náhle a není dále vyloučena (dále jen „sklo all risks“).</w:t>
      </w:r>
    </w:p>
    <w:p w:rsidR="00F25E89" w:rsidRDefault="00F25E89" w:rsidP="00F63AEF">
      <w:pPr>
        <w:pStyle w:val="Odstavecseseznamem"/>
        <w:spacing w:after="0" w:line="240" w:lineRule="auto"/>
        <w:ind w:left="425"/>
        <w:jc w:val="both"/>
        <w:rPr>
          <w:rFonts w:ascii="Arial" w:hAnsi="Arial" w:cs="Arial"/>
        </w:rPr>
      </w:pPr>
    </w:p>
    <w:p w:rsidR="00F25E89" w:rsidRPr="00EB7AA4" w:rsidRDefault="00F25E89" w:rsidP="00EB7AA4">
      <w:pPr>
        <w:pStyle w:val="Odstavecseseznamem"/>
        <w:numPr>
          <w:ilvl w:val="0"/>
          <w:numId w:val="7"/>
        </w:numPr>
        <w:spacing w:after="0" w:line="240" w:lineRule="auto"/>
        <w:jc w:val="both"/>
        <w:rPr>
          <w:rFonts w:ascii="Arial" w:hAnsi="Arial" w:cs="Arial"/>
          <w:u w:val="single"/>
        </w:rPr>
      </w:pPr>
      <w:r w:rsidRPr="00EB7AA4">
        <w:rPr>
          <w:rFonts w:ascii="Arial" w:hAnsi="Arial" w:cs="Arial"/>
          <w:u w:val="single"/>
        </w:rPr>
        <w:t>Doplňková živelní nebezpečí</w:t>
      </w:r>
      <w:r>
        <w:rPr>
          <w:rFonts w:ascii="Arial" w:hAnsi="Arial" w:cs="Arial"/>
        </w:rPr>
        <w:t xml:space="preserve"> obsahuje</w:t>
      </w:r>
    </w:p>
    <w:p w:rsidR="00F25E89" w:rsidRDefault="00F25E89" w:rsidP="00EB7AA4">
      <w:pPr>
        <w:pStyle w:val="Odstavecseseznamem"/>
        <w:numPr>
          <w:ilvl w:val="0"/>
          <w:numId w:val="8"/>
        </w:numPr>
        <w:spacing w:after="0" w:line="240" w:lineRule="auto"/>
        <w:jc w:val="both"/>
        <w:rPr>
          <w:rFonts w:ascii="Arial" w:hAnsi="Arial" w:cs="Arial"/>
        </w:rPr>
      </w:pPr>
      <w:r w:rsidRPr="00096C31">
        <w:rPr>
          <w:rFonts w:ascii="Arial" w:hAnsi="Arial" w:cs="Arial"/>
        </w:rPr>
        <w:t xml:space="preserve">Vichřice o rychlosti větru </w:t>
      </w:r>
      <w:r>
        <w:rPr>
          <w:rFonts w:ascii="Arial" w:hAnsi="Arial" w:cs="Arial"/>
        </w:rPr>
        <w:t>alespoň 75 km/hod,</w:t>
      </w:r>
    </w:p>
    <w:p w:rsidR="00F25E89" w:rsidRDefault="00F25E89" w:rsidP="00EB7AA4">
      <w:pPr>
        <w:pStyle w:val="Odstavecseseznamem"/>
        <w:numPr>
          <w:ilvl w:val="0"/>
          <w:numId w:val="8"/>
        </w:numPr>
        <w:spacing w:after="0" w:line="240" w:lineRule="auto"/>
        <w:jc w:val="both"/>
        <w:rPr>
          <w:rFonts w:ascii="Arial" w:hAnsi="Arial" w:cs="Arial"/>
        </w:rPr>
      </w:pPr>
      <w:r>
        <w:rPr>
          <w:rFonts w:ascii="Arial" w:hAnsi="Arial" w:cs="Arial"/>
        </w:rPr>
        <w:t>Krupobití,</w:t>
      </w:r>
    </w:p>
    <w:p w:rsidR="00F25E89" w:rsidRDefault="00F25E89" w:rsidP="00EB7AA4">
      <w:pPr>
        <w:pStyle w:val="Odstavecseseznamem"/>
        <w:numPr>
          <w:ilvl w:val="0"/>
          <w:numId w:val="8"/>
        </w:numPr>
        <w:spacing w:after="0" w:line="240" w:lineRule="auto"/>
        <w:jc w:val="both"/>
        <w:rPr>
          <w:rFonts w:ascii="Arial" w:hAnsi="Arial" w:cs="Arial"/>
        </w:rPr>
      </w:pPr>
      <w:r>
        <w:rPr>
          <w:rFonts w:ascii="Arial" w:hAnsi="Arial" w:cs="Arial"/>
        </w:rPr>
        <w:t>Sesouvání půdy, zřícení skal nebo zemin, lavina,</w:t>
      </w:r>
    </w:p>
    <w:p w:rsidR="00F25E89" w:rsidRDefault="00F25E89" w:rsidP="00EB7AA4">
      <w:pPr>
        <w:pStyle w:val="Odstavecseseznamem"/>
        <w:numPr>
          <w:ilvl w:val="0"/>
          <w:numId w:val="8"/>
        </w:numPr>
        <w:spacing w:after="0" w:line="240" w:lineRule="auto"/>
        <w:jc w:val="both"/>
        <w:rPr>
          <w:rFonts w:ascii="Arial" w:hAnsi="Arial" w:cs="Arial"/>
        </w:rPr>
      </w:pPr>
      <w:r>
        <w:rPr>
          <w:rFonts w:ascii="Arial" w:hAnsi="Arial" w:cs="Arial"/>
        </w:rPr>
        <w:t>Pád stromů, stožárů a jiných předmětů,</w:t>
      </w:r>
    </w:p>
    <w:p w:rsidR="00F25E89" w:rsidRDefault="00F25E89" w:rsidP="00EB7AA4">
      <w:pPr>
        <w:pStyle w:val="Odstavecseseznamem"/>
        <w:numPr>
          <w:ilvl w:val="0"/>
          <w:numId w:val="8"/>
        </w:numPr>
        <w:spacing w:after="0" w:line="240" w:lineRule="auto"/>
        <w:jc w:val="both"/>
        <w:rPr>
          <w:rFonts w:ascii="Arial" w:hAnsi="Arial" w:cs="Arial"/>
        </w:rPr>
      </w:pPr>
      <w:r>
        <w:rPr>
          <w:rFonts w:ascii="Arial" w:hAnsi="Arial" w:cs="Arial"/>
        </w:rPr>
        <w:t>Zemětřesení o síle otřesů dosahujících alespoň 6. stupně makroseismické stupnice EMS 98,</w:t>
      </w:r>
    </w:p>
    <w:p w:rsidR="00F25E89" w:rsidRDefault="00F25E89" w:rsidP="00EB7AA4">
      <w:pPr>
        <w:pStyle w:val="Odstavecseseznamem"/>
        <w:numPr>
          <w:ilvl w:val="0"/>
          <w:numId w:val="8"/>
        </w:numPr>
        <w:spacing w:after="0" w:line="240" w:lineRule="auto"/>
        <w:jc w:val="both"/>
        <w:rPr>
          <w:rFonts w:ascii="Arial" w:hAnsi="Arial" w:cs="Arial"/>
        </w:rPr>
      </w:pPr>
      <w:r>
        <w:rPr>
          <w:rFonts w:ascii="Arial" w:hAnsi="Arial" w:cs="Arial"/>
        </w:rPr>
        <w:t>Tíha sněhu nebo tíha námrazy,</w:t>
      </w:r>
    </w:p>
    <w:p w:rsidR="00F25E89" w:rsidRDefault="00F25E89" w:rsidP="00EB7AA4">
      <w:pPr>
        <w:pStyle w:val="Odstavecseseznamem"/>
        <w:numPr>
          <w:ilvl w:val="0"/>
          <w:numId w:val="8"/>
        </w:numPr>
        <w:spacing w:after="0" w:line="240" w:lineRule="auto"/>
        <w:jc w:val="both"/>
        <w:rPr>
          <w:rFonts w:ascii="Arial" w:hAnsi="Arial" w:cs="Arial"/>
        </w:rPr>
      </w:pPr>
      <w:r>
        <w:rPr>
          <w:rFonts w:ascii="Arial" w:hAnsi="Arial" w:cs="Arial"/>
        </w:rPr>
        <w:t>Náraz vozidla, kouř, nadzvuková vlna,</w:t>
      </w:r>
    </w:p>
    <w:p w:rsidR="00F25E89" w:rsidRDefault="00F25E89" w:rsidP="00EB7AA4">
      <w:pPr>
        <w:pStyle w:val="Odstavecseseznamem"/>
        <w:numPr>
          <w:ilvl w:val="0"/>
          <w:numId w:val="8"/>
        </w:numPr>
        <w:spacing w:after="0" w:line="240" w:lineRule="auto"/>
        <w:jc w:val="both"/>
        <w:rPr>
          <w:rFonts w:ascii="Arial" w:hAnsi="Arial" w:cs="Arial"/>
        </w:rPr>
      </w:pPr>
      <w:r>
        <w:rPr>
          <w:rFonts w:ascii="Arial" w:hAnsi="Arial" w:cs="Arial"/>
        </w:rPr>
        <w:t>Voda z vodovodních zařízení (</w:t>
      </w:r>
      <w:r w:rsidRPr="000A6C21">
        <w:rPr>
          <w:rFonts w:ascii="Arial" w:hAnsi="Arial" w:cs="Arial"/>
          <w:i/>
          <w:iCs/>
        </w:rPr>
        <w:t>vodovodní škoda</w:t>
      </w:r>
      <w:r>
        <w:rPr>
          <w:rFonts w:ascii="Arial" w:hAnsi="Arial" w:cs="Arial"/>
        </w:rPr>
        <w:t>).</w:t>
      </w:r>
    </w:p>
    <w:p w:rsidR="00F25E89" w:rsidRDefault="00F25E89" w:rsidP="00353B28">
      <w:pPr>
        <w:pStyle w:val="Odstavecseseznamem"/>
        <w:spacing w:after="0" w:line="240" w:lineRule="auto"/>
        <w:ind w:left="1080"/>
        <w:jc w:val="both"/>
        <w:rPr>
          <w:rFonts w:ascii="Arial" w:hAnsi="Arial" w:cs="Arial"/>
        </w:rPr>
      </w:pPr>
    </w:p>
    <w:p w:rsidR="00F25E89" w:rsidRPr="00353B28" w:rsidRDefault="00F25E89" w:rsidP="00353B28">
      <w:pPr>
        <w:pStyle w:val="Odstavecseseznamem"/>
        <w:numPr>
          <w:ilvl w:val="0"/>
          <w:numId w:val="7"/>
        </w:numPr>
        <w:tabs>
          <w:tab w:val="left" w:pos="426"/>
        </w:tabs>
        <w:spacing w:after="0" w:line="240" w:lineRule="auto"/>
        <w:jc w:val="both"/>
        <w:rPr>
          <w:rFonts w:ascii="Arial" w:hAnsi="Arial" w:cs="Arial"/>
          <w:u w:val="single"/>
        </w:rPr>
      </w:pPr>
      <w:r w:rsidRPr="00353B28">
        <w:rPr>
          <w:rFonts w:ascii="Arial" w:hAnsi="Arial" w:cs="Arial"/>
          <w:u w:val="single"/>
        </w:rPr>
        <w:t>Vandalismus</w:t>
      </w:r>
      <w:r>
        <w:rPr>
          <w:rFonts w:ascii="Arial" w:hAnsi="Arial" w:cs="Arial"/>
        </w:rPr>
        <w:t xml:space="preserve"> obsahuje úmyslné poškození nebo zničení předmětu pojištění.</w:t>
      </w:r>
    </w:p>
    <w:p w:rsidR="00F25E89" w:rsidRDefault="00F25E89" w:rsidP="00353B28">
      <w:pPr>
        <w:tabs>
          <w:tab w:val="left" w:pos="426"/>
        </w:tabs>
        <w:spacing w:after="0" w:line="240" w:lineRule="auto"/>
        <w:jc w:val="both"/>
        <w:rPr>
          <w:rFonts w:ascii="Arial" w:hAnsi="Arial" w:cs="Arial"/>
          <w:u w:val="single"/>
        </w:rPr>
      </w:pPr>
    </w:p>
    <w:p w:rsidR="00F25E89" w:rsidRPr="00353B28" w:rsidRDefault="00F25E89" w:rsidP="00353B28">
      <w:pPr>
        <w:pStyle w:val="Odstavecseseznamem"/>
        <w:numPr>
          <w:ilvl w:val="0"/>
          <w:numId w:val="7"/>
        </w:numPr>
        <w:tabs>
          <w:tab w:val="left" w:pos="426"/>
        </w:tabs>
        <w:spacing w:after="0" w:line="240" w:lineRule="auto"/>
        <w:jc w:val="both"/>
        <w:rPr>
          <w:rFonts w:ascii="Arial" w:hAnsi="Arial" w:cs="Arial"/>
          <w:u w:val="single"/>
        </w:rPr>
      </w:pPr>
      <w:r w:rsidRPr="00353B28">
        <w:rPr>
          <w:rFonts w:ascii="Arial" w:hAnsi="Arial" w:cs="Arial"/>
          <w:u w:val="single"/>
        </w:rPr>
        <w:t>Povodeň nebo záplava</w:t>
      </w:r>
      <w:r>
        <w:rPr>
          <w:rFonts w:ascii="Arial" w:hAnsi="Arial" w:cs="Arial"/>
        </w:rPr>
        <w:t xml:space="preserve"> poškození nebo zničení předmětu pojištění.</w:t>
      </w:r>
    </w:p>
    <w:p w:rsidR="00F25E89" w:rsidRPr="00353B28" w:rsidRDefault="00F25E89" w:rsidP="00353B28">
      <w:pPr>
        <w:tabs>
          <w:tab w:val="left" w:pos="426"/>
        </w:tabs>
        <w:spacing w:after="0" w:line="240" w:lineRule="auto"/>
        <w:ind w:firstLine="284"/>
        <w:jc w:val="both"/>
        <w:rPr>
          <w:rFonts w:ascii="Arial" w:hAnsi="Arial" w:cs="Arial"/>
          <w:u w:val="single"/>
        </w:rPr>
      </w:pPr>
    </w:p>
    <w:p w:rsidR="00F25E89" w:rsidRDefault="00F25E89" w:rsidP="0070683A">
      <w:pPr>
        <w:pStyle w:val="Odstavecseseznamem"/>
        <w:numPr>
          <w:ilvl w:val="0"/>
          <w:numId w:val="9"/>
        </w:numPr>
        <w:spacing w:after="0" w:line="240" w:lineRule="auto"/>
        <w:ind w:left="426" w:hanging="426"/>
        <w:jc w:val="both"/>
        <w:rPr>
          <w:rFonts w:ascii="Arial" w:hAnsi="Arial" w:cs="Arial"/>
        </w:rPr>
      </w:pPr>
      <w:r w:rsidRPr="0070683A">
        <w:rPr>
          <w:rFonts w:ascii="Arial" w:hAnsi="Arial" w:cs="Arial"/>
        </w:rPr>
        <w:t xml:space="preserve">Některé výpisy z článků části B. </w:t>
      </w:r>
    </w:p>
    <w:p w:rsidR="00F25E89" w:rsidRDefault="00F25E89" w:rsidP="007313B4">
      <w:pPr>
        <w:pStyle w:val="Odstavecseseznamem"/>
        <w:spacing w:after="0" w:line="240" w:lineRule="auto"/>
        <w:ind w:left="426"/>
        <w:jc w:val="both"/>
        <w:rPr>
          <w:rFonts w:ascii="Arial" w:hAnsi="Arial" w:cs="Arial"/>
        </w:rPr>
      </w:pPr>
      <w:r w:rsidRPr="0070683A">
        <w:rPr>
          <w:rFonts w:ascii="Arial" w:hAnsi="Arial" w:cs="Arial"/>
        </w:rPr>
        <w:t>např. k „</w:t>
      </w:r>
      <w:r w:rsidRPr="007313B4">
        <w:rPr>
          <w:rFonts w:ascii="Arial" w:hAnsi="Arial" w:cs="Arial"/>
          <w:i/>
          <w:iCs/>
        </w:rPr>
        <w:t>sklo all risks“</w:t>
      </w:r>
      <w:r>
        <w:rPr>
          <w:rFonts w:ascii="Arial" w:hAnsi="Arial" w:cs="Arial"/>
        </w:rPr>
        <w:t xml:space="preserve"> </w:t>
      </w:r>
    </w:p>
    <w:p w:rsidR="00F25E89" w:rsidRDefault="00F25E89" w:rsidP="0070683A">
      <w:pPr>
        <w:pStyle w:val="Odstavecseseznamem"/>
        <w:numPr>
          <w:ilvl w:val="0"/>
          <w:numId w:val="8"/>
        </w:numPr>
        <w:spacing w:after="0" w:line="240" w:lineRule="auto"/>
        <w:ind w:left="709" w:hanging="283"/>
        <w:jc w:val="both"/>
        <w:rPr>
          <w:rFonts w:ascii="Arial" w:hAnsi="Arial" w:cs="Arial"/>
        </w:rPr>
      </w:pPr>
      <w:r>
        <w:rPr>
          <w:rFonts w:ascii="Arial" w:hAnsi="Arial" w:cs="Arial"/>
        </w:rPr>
        <w:t>V případě poškození, zničení skla poskytne pojistitel pojistné plnění odpovídajícím nákladům na znovuzřízení skla, stejného provedení. Maximální plnění do výše  20 000 Kč za jednu pojistnou událost se spoluúčastí 500 Kč.</w:t>
      </w:r>
    </w:p>
    <w:p w:rsidR="00F25E89" w:rsidRDefault="00F25E89" w:rsidP="006915BF">
      <w:pPr>
        <w:spacing w:after="0" w:line="240" w:lineRule="auto"/>
        <w:jc w:val="both"/>
        <w:rPr>
          <w:rFonts w:ascii="Arial" w:hAnsi="Arial" w:cs="Arial"/>
        </w:rPr>
      </w:pPr>
    </w:p>
    <w:p w:rsidR="00F25E89" w:rsidRDefault="00F25E89" w:rsidP="006915BF">
      <w:pPr>
        <w:spacing w:after="0" w:line="240" w:lineRule="auto"/>
        <w:jc w:val="both"/>
        <w:rPr>
          <w:rFonts w:ascii="Arial" w:hAnsi="Arial" w:cs="Arial"/>
        </w:rPr>
      </w:pPr>
      <w:r>
        <w:rPr>
          <w:rFonts w:ascii="Arial" w:hAnsi="Arial" w:cs="Arial"/>
        </w:rPr>
        <w:t xml:space="preserve">      </w:t>
      </w:r>
      <w:r w:rsidRPr="0070683A">
        <w:rPr>
          <w:rFonts w:ascii="Arial" w:hAnsi="Arial" w:cs="Arial"/>
        </w:rPr>
        <w:t>např. k</w:t>
      </w:r>
      <w:r>
        <w:rPr>
          <w:rFonts w:ascii="Arial" w:hAnsi="Arial" w:cs="Arial"/>
        </w:rPr>
        <w:t> </w:t>
      </w:r>
      <w:r w:rsidRPr="007313B4">
        <w:rPr>
          <w:rFonts w:ascii="Arial" w:hAnsi="Arial" w:cs="Arial"/>
          <w:i/>
          <w:iCs/>
        </w:rPr>
        <w:t>vodovodní škoda</w:t>
      </w:r>
    </w:p>
    <w:p w:rsidR="00F25E89" w:rsidRDefault="00F25E89" w:rsidP="006915BF">
      <w:pPr>
        <w:pStyle w:val="Odstavecseseznamem"/>
        <w:numPr>
          <w:ilvl w:val="0"/>
          <w:numId w:val="9"/>
        </w:numPr>
        <w:tabs>
          <w:tab w:val="left" w:pos="426"/>
        </w:tabs>
        <w:spacing w:after="0" w:line="240" w:lineRule="auto"/>
        <w:ind w:left="709" w:hanging="709"/>
        <w:jc w:val="both"/>
        <w:rPr>
          <w:rFonts w:ascii="Arial" w:hAnsi="Arial" w:cs="Arial"/>
        </w:rPr>
      </w:pPr>
      <w:r>
        <w:rPr>
          <w:rFonts w:ascii="Arial" w:hAnsi="Arial" w:cs="Arial"/>
        </w:rPr>
        <w:t>-   Při škodní události způsobené náhlým únikem vody nebo kapaliny v důsledku přetlaku nebo zamrznutím ve vodovodních nebo kanalizačních potrubích, topných systémech tak pojistitel poskytne plnění za náklady na bourání, zazdění a opravu nebo výměnu poškozených částí.</w:t>
      </w:r>
    </w:p>
    <w:p w:rsidR="00F25E89" w:rsidRDefault="00F25E89" w:rsidP="007313B4">
      <w:pPr>
        <w:tabs>
          <w:tab w:val="left" w:pos="426"/>
        </w:tabs>
        <w:spacing w:after="0" w:line="240" w:lineRule="auto"/>
        <w:jc w:val="both"/>
        <w:rPr>
          <w:rFonts w:ascii="Arial" w:hAnsi="Arial" w:cs="Arial"/>
        </w:rPr>
      </w:pPr>
      <w:r>
        <w:rPr>
          <w:rFonts w:ascii="Arial" w:hAnsi="Arial" w:cs="Arial"/>
        </w:rPr>
        <w:t xml:space="preserve">       </w:t>
      </w:r>
    </w:p>
    <w:p w:rsidR="00F25E89" w:rsidRDefault="00F25E89" w:rsidP="007313B4">
      <w:pPr>
        <w:tabs>
          <w:tab w:val="left" w:pos="426"/>
        </w:tabs>
        <w:spacing w:after="0" w:line="240" w:lineRule="auto"/>
        <w:jc w:val="both"/>
        <w:rPr>
          <w:rFonts w:ascii="Arial" w:hAnsi="Arial" w:cs="Arial"/>
        </w:rPr>
      </w:pPr>
      <w:r>
        <w:rPr>
          <w:rFonts w:ascii="Arial" w:hAnsi="Arial" w:cs="Arial"/>
        </w:rPr>
        <w:t xml:space="preserve">      </w:t>
      </w:r>
      <w:r>
        <w:rPr>
          <w:rFonts w:ascii="Arial" w:hAnsi="Arial" w:cs="Arial"/>
        </w:rPr>
        <w:tab/>
      </w:r>
      <w:r w:rsidRPr="0070683A">
        <w:rPr>
          <w:rFonts w:ascii="Arial" w:hAnsi="Arial" w:cs="Arial"/>
        </w:rPr>
        <w:t xml:space="preserve">např. </w:t>
      </w:r>
      <w:r w:rsidRPr="007313B4">
        <w:rPr>
          <w:rFonts w:ascii="Arial" w:hAnsi="Arial" w:cs="Arial"/>
          <w:i/>
          <w:iCs/>
        </w:rPr>
        <w:t>vandalismus</w:t>
      </w:r>
    </w:p>
    <w:p w:rsidR="00F25E89" w:rsidRPr="007313B4" w:rsidRDefault="00F25E89" w:rsidP="007313B4">
      <w:pPr>
        <w:pStyle w:val="Odstavecseseznamem"/>
        <w:numPr>
          <w:ilvl w:val="0"/>
          <w:numId w:val="9"/>
        </w:numPr>
        <w:tabs>
          <w:tab w:val="left" w:pos="426"/>
        </w:tabs>
        <w:spacing w:after="0" w:line="240" w:lineRule="auto"/>
        <w:ind w:hanging="720"/>
        <w:jc w:val="both"/>
        <w:rPr>
          <w:rFonts w:ascii="Arial" w:hAnsi="Arial" w:cs="Arial"/>
        </w:rPr>
      </w:pPr>
      <w:r>
        <w:rPr>
          <w:rFonts w:ascii="Arial" w:hAnsi="Arial" w:cs="Arial"/>
        </w:rPr>
        <w:t xml:space="preserve">- </w:t>
      </w:r>
      <w:r>
        <w:rPr>
          <w:rFonts w:ascii="Arial" w:hAnsi="Arial" w:cs="Arial"/>
        </w:rPr>
        <w:tab/>
        <w:t>Pojištění se vztahuje i na škodné události vzniklé poškozením nebo zničením předmětu pojištění jakýmkoliv úmyslným znečištěním, zabarvením, kresbami, nápisy apod. Součet pojistných plnění za rok nesmí přesáhnout limit 20 000 Kč.</w:t>
      </w:r>
    </w:p>
    <w:p w:rsidR="00F25E89" w:rsidRPr="007313B4" w:rsidRDefault="00F25E89" w:rsidP="007313B4">
      <w:pPr>
        <w:tabs>
          <w:tab w:val="left" w:pos="426"/>
        </w:tabs>
        <w:spacing w:after="0" w:line="240" w:lineRule="auto"/>
        <w:jc w:val="both"/>
        <w:rPr>
          <w:rFonts w:ascii="Arial" w:hAnsi="Arial" w:cs="Arial"/>
        </w:rPr>
      </w:pPr>
    </w:p>
    <w:p w:rsidR="00F25E89" w:rsidRPr="008E1F8E" w:rsidRDefault="00F25E89" w:rsidP="007313B4">
      <w:pPr>
        <w:tabs>
          <w:tab w:val="left" w:pos="426"/>
        </w:tabs>
        <w:spacing w:after="0" w:line="240" w:lineRule="auto"/>
        <w:jc w:val="both"/>
        <w:rPr>
          <w:rFonts w:ascii="Arial" w:hAnsi="Arial" w:cs="Arial"/>
        </w:rPr>
      </w:pPr>
      <w:r w:rsidRPr="008E1F8E">
        <w:rPr>
          <w:rFonts w:ascii="Arial" w:hAnsi="Arial" w:cs="Arial"/>
          <w:u w:val="single"/>
        </w:rPr>
        <w:t>V článku X části B</w:t>
      </w:r>
      <w:r>
        <w:rPr>
          <w:rFonts w:ascii="Arial" w:hAnsi="Arial" w:cs="Arial"/>
        </w:rPr>
        <w:t xml:space="preserve">  je stanoveno, že pokud se kterýkoliv z bytů v pojištěném bytovém domě stane neobyvatelným následkem pojistné události z pojištění uvedených ve smlouvě, vznikne osobám právo na pojistné plnění reparující náhradu jimi prokazatelně a účelně vynaložených nákladů na jejich přiměřené náhradní ubytování, jako i osob tvořících s nimi domácnost. Součet pojistných plnění vyplacených za všechny pojistné události nastalé v každém roce trvání PS, nesmí přesáhnout limit 30 000 Kč na každý jeden byt v pojištěném bytovém domě.</w:t>
      </w:r>
    </w:p>
    <w:p w:rsidR="00F25E89" w:rsidRDefault="00F25E89" w:rsidP="00F63AEF">
      <w:pPr>
        <w:pStyle w:val="Odstavecseseznamem"/>
        <w:spacing w:after="0" w:line="240" w:lineRule="auto"/>
        <w:ind w:left="425"/>
        <w:jc w:val="both"/>
        <w:rPr>
          <w:rFonts w:ascii="Arial" w:hAnsi="Arial" w:cs="Arial"/>
        </w:rPr>
      </w:pPr>
    </w:p>
    <w:p w:rsidR="00F25E89" w:rsidRPr="00F63AEF" w:rsidRDefault="00F25E89" w:rsidP="00F63AEF">
      <w:pPr>
        <w:pStyle w:val="Odstavecseseznamem"/>
        <w:spacing w:after="0" w:line="240" w:lineRule="auto"/>
        <w:ind w:left="425"/>
        <w:jc w:val="both"/>
        <w:rPr>
          <w:rFonts w:ascii="Arial" w:hAnsi="Arial" w:cs="Arial"/>
        </w:rPr>
      </w:pPr>
    </w:p>
    <w:p w:rsidR="00F25E89" w:rsidRDefault="00F25E89" w:rsidP="00BC1C7B">
      <w:pPr>
        <w:pStyle w:val="Odstavecseseznamem"/>
        <w:numPr>
          <w:ilvl w:val="0"/>
          <w:numId w:val="2"/>
        </w:numPr>
        <w:spacing w:after="0" w:line="240" w:lineRule="auto"/>
        <w:ind w:left="425" w:hanging="425"/>
        <w:jc w:val="both"/>
        <w:rPr>
          <w:rFonts w:ascii="Arial" w:hAnsi="Arial" w:cs="Arial"/>
        </w:rPr>
      </w:pPr>
      <w:r>
        <w:rPr>
          <w:rFonts w:ascii="Arial" w:hAnsi="Arial" w:cs="Arial"/>
          <w:b/>
          <w:bCs/>
        </w:rPr>
        <w:lastRenderedPageBreak/>
        <w:t>Soubor elektromotorů, anténní systémy (STA), domovní a přístupové systémy              a kamerové systémy</w:t>
      </w:r>
      <w:r>
        <w:rPr>
          <w:rFonts w:ascii="Arial" w:hAnsi="Arial" w:cs="Arial"/>
        </w:rPr>
        <w:t xml:space="preserve"> </w:t>
      </w:r>
    </w:p>
    <w:p w:rsidR="00F25E89" w:rsidRPr="000E58A3" w:rsidRDefault="00F25E89" w:rsidP="00BC1C7B">
      <w:pPr>
        <w:pStyle w:val="Odstavecseseznamem"/>
        <w:spacing w:after="0" w:line="240" w:lineRule="auto"/>
        <w:ind w:left="425"/>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1985"/>
        <w:gridCol w:w="1134"/>
        <w:gridCol w:w="1417"/>
        <w:gridCol w:w="1701"/>
      </w:tblGrid>
      <w:tr w:rsidR="00F25E89" w:rsidRPr="00F31B1A">
        <w:tc>
          <w:tcPr>
            <w:tcW w:w="2835" w:type="dxa"/>
          </w:tcPr>
          <w:p w:rsidR="00F25E89" w:rsidRPr="00F31B1A" w:rsidRDefault="00F25E89" w:rsidP="00F31B1A">
            <w:pPr>
              <w:spacing w:after="120" w:line="240" w:lineRule="auto"/>
              <w:rPr>
                <w:rFonts w:ascii="Arial" w:hAnsi="Arial" w:cs="Arial"/>
              </w:rPr>
            </w:pPr>
            <w:r w:rsidRPr="00F31B1A">
              <w:rPr>
                <w:rFonts w:ascii="Arial" w:hAnsi="Arial" w:cs="Arial"/>
              </w:rPr>
              <w:t>Případy negativního působení pojist. nebezpečí</w:t>
            </w:r>
          </w:p>
        </w:tc>
        <w:tc>
          <w:tcPr>
            <w:tcW w:w="1985" w:type="dxa"/>
          </w:tcPr>
          <w:p w:rsidR="00F25E89" w:rsidRPr="00F31B1A" w:rsidRDefault="00F25E89" w:rsidP="00F31B1A">
            <w:pPr>
              <w:spacing w:after="120" w:line="240" w:lineRule="auto"/>
              <w:jc w:val="center"/>
              <w:rPr>
                <w:rFonts w:ascii="Arial" w:hAnsi="Arial" w:cs="Arial"/>
              </w:rPr>
            </w:pPr>
            <w:r w:rsidRPr="00F31B1A">
              <w:rPr>
                <w:rFonts w:ascii="Arial" w:hAnsi="Arial" w:cs="Arial"/>
              </w:rPr>
              <w:t>Horní hranice PP</w:t>
            </w:r>
          </w:p>
          <w:p w:rsidR="00F25E89" w:rsidRPr="00F31B1A" w:rsidRDefault="00F25E89" w:rsidP="00F31B1A">
            <w:pPr>
              <w:spacing w:after="0" w:line="240" w:lineRule="auto"/>
              <w:jc w:val="center"/>
              <w:rPr>
                <w:rFonts w:ascii="Arial" w:hAnsi="Arial" w:cs="Arial"/>
              </w:rPr>
            </w:pPr>
            <w:r w:rsidRPr="00F31B1A">
              <w:rPr>
                <w:rFonts w:ascii="Arial" w:hAnsi="Arial" w:cs="Arial"/>
              </w:rPr>
              <w:t>v Kč</w:t>
            </w:r>
          </w:p>
        </w:tc>
        <w:tc>
          <w:tcPr>
            <w:tcW w:w="1134" w:type="dxa"/>
          </w:tcPr>
          <w:p w:rsidR="00F25E89" w:rsidRPr="00F31B1A" w:rsidRDefault="00F25E89" w:rsidP="00F31B1A">
            <w:pPr>
              <w:spacing w:after="120" w:line="240" w:lineRule="auto"/>
              <w:jc w:val="center"/>
              <w:rPr>
                <w:rFonts w:ascii="Arial" w:hAnsi="Arial" w:cs="Arial"/>
              </w:rPr>
            </w:pPr>
            <w:r w:rsidRPr="00F31B1A">
              <w:rPr>
                <w:rFonts w:ascii="Arial" w:hAnsi="Arial" w:cs="Arial"/>
              </w:rPr>
              <w:t>Způsob</w:t>
            </w:r>
          </w:p>
          <w:p w:rsidR="00F25E89" w:rsidRPr="00F31B1A" w:rsidRDefault="00F25E89" w:rsidP="00F31B1A">
            <w:pPr>
              <w:spacing w:after="120" w:line="240" w:lineRule="auto"/>
              <w:jc w:val="center"/>
              <w:rPr>
                <w:rFonts w:ascii="Arial" w:hAnsi="Arial" w:cs="Arial"/>
              </w:rPr>
            </w:pPr>
            <w:r w:rsidRPr="00F31B1A">
              <w:rPr>
                <w:rFonts w:ascii="Arial" w:hAnsi="Arial" w:cs="Arial"/>
              </w:rPr>
              <w:t>pojištění</w:t>
            </w:r>
          </w:p>
        </w:tc>
        <w:tc>
          <w:tcPr>
            <w:tcW w:w="1417" w:type="dxa"/>
          </w:tcPr>
          <w:p w:rsidR="00F25E89" w:rsidRPr="00F31B1A" w:rsidRDefault="00F25E89" w:rsidP="00F31B1A">
            <w:pPr>
              <w:spacing w:after="120" w:line="240" w:lineRule="auto"/>
              <w:jc w:val="center"/>
              <w:rPr>
                <w:rFonts w:ascii="Arial" w:hAnsi="Arial" w:cs="Arial"/>
              </w:rPr>
            </w:pPr>
            <w:r w:rsidRPr="00F31B1A">
              <w:rPr>
                <w:rFonts w:ascii="Arial" w:hAnsi="Arial" w:cs="Arial"/>
              </w:rPr>
              <w:t>Spoluúčast</w:t>
            </w:r>
          </w:p>
          <w:p w:rsidR="00F25E89" w:rsidRPr="00F31B1A" w:rsidRDefault="00F25E89" w:rsidP="00F31B1A">
            <w:pPr>
              <w:spacing w:after="120" w:line="240" w:lineRule="auto"/>
              <w:jc w:val="center"/>
              <w:rPr>
                <w:rFonts w:ascii="Arial" w:hAnsi="Arial" w:cs="Arial"/>
              </w:rPr>
            </w:pPr>
            <w:r w:rsidRPr="00F31B1A">
              <w:rPr>
                <w:rFonts w:ascii="Arial" w:hAnsi="Arial" w:cs="Arial"/>
              </w:rPr>
              <w:t>v Kč</w:t>
            </w:r>
          </w:p>
        </w:tc>
        <w:tc>
          <w:tcPr>
            <w:tcW w:w="1701" w:type="dxa"/>
          </w:tcPr>
          <w:p w:rsidR="00F25E89" w:rsidRPr="00F31B1A" w:rsidRDefault="00F25E89" w:rsidP="00F31B1A">
            <w:pPr>
              <w:spacing w:after="120" w:line="240" w:lineRule="auto"/>
              <w:jc w:val="center"/>
              <w:rPr>
                <w:rFonts w:ascii="Arial" w:hAnsi="Arial" w:cs="Arial"/>
              </w:rPr>
            </w:pPr>
            <w:r w:rsidRPr="00F31B1A">
              <w:rPr>
                <w:rFonts w:ascii="Arial" w:hAnsi="Arial" w:cs="Arial"/>
              </w:rPr>
              <w:t>Roční pojistné</w:t>
            </w:r>
          </w:p>
          <w:p w:rsidR="00F25E89" w:rsidRPr="00F31B1A" w:rsidRDefault="00F25E89" w:rsidP="00F31B1A">
            <w:pPr>
              <w:spacing w:after="120" w:line="240" w:lineRule="auto"/>
              <w:jc w:val="center"/>
              <w:rPr>
                <w:rFonts w:ascii="Arial" w:hAnsi="Arial" w:cs="Arial"/>
              </w:rPr>
            </w:pPr>
            <w:r w:rsidRPr="00F31B1A">
              <w:rPr>
                <w:rFonts w:ascii="Arial" w:hAnsi="Arial" w:cs="Arial"/>
              </w:rPr>
              <w:t>v Kč</w:t>
            </w:r>
          </w:p>
        </w:tc>
      </w:tr>
      <w:tr w:rsidR="00F25E89" w:rsidRPr="00F31B1A">
        <w:tc>
          <w:tcPr>
            <w:tcW w:w="2835" w:type="dxa"/>
          </w:tcPr>
          <w:p w:rsidR="00F25E89" w:rsidRPr="00F31B1A" w:rsidRDefault="00F25E89" w:rsidP="00F31B1A">
            <w:pPr>
              <w:spacing w:after="120" w:line="240" w:lineRule="auto"/>
              <w:rPr>
                <w:rFonts w:ascii="Arial" w:hAnsi="Arial" w:cs="Arial"/>
              </w:rPr>
            </w:pPr>
            <w:r w:rsidRPr="00F31B1A">
              <w:rPr>
                <w:rFonts w:ascii="Arial" w:hAnsi="Arial" w:cs="Arial"/>
              </w:rPr>
              <w:t>Pojištění zkratu a přepětí</w:t>
            </w:r>
          </w:p>
        </w:tc>
        <w:tc>
          <w:tcPr>
            <w:tcW w:w="1985" w:type="dxa"/>
          </w:tcPr>
          <w:p w:rsidR="00F25E89" w:rsidRPr="00F31B1A" w:rsidRDefault="00F25E89" w:rsidP="00F31B1A">
            <w:pPr>
              <w:spacing w:after="120" w:line="240" w:lineRule="auto"/>
              <w:jc w:val="center"/>
              <w:rPr>
                <w:rFonts w:ascii="Arial" w:hAnsi="Arial" w:cs="Arial"/>
              </w:rPr>
            </w:pPr>
            <w:r w:rsidRPr="00F31B1A">
              <w:rPr>
                <w:rFonts w:ascii="Arial" w:hAnsi="Arial" w:cs="Arial"/>
              </w:rPr>
              <w:t>100 000</w:t>
            </w:r>
          </w:p>
        </w:tc>
        <w:tc>
          <w:tcPr>
            <w:tcW w:w="1134" w:type="dxa"/>
          </w:tcPr>
          <w:p w:rsidR="00F25E89" w:rsidRPr="00F31B1A" w:rsidRDefault="00F25E89" w:rsidP="00F31B1A">
            <w:pPr>
              <w:spacing w:after="120" w:line="240" w:lineRule="auto"/>
              <w:jc w:val="center"/>
              <w:rPr>
                <w:rFonts w:ascii="Arial" w:hAnsi="Arial" w:cs="Arial"/>
              </w:rPr>
            </w:pPr>
            <w:r w:rsidRPr="00F31B1A">
              <w:rPr>
                <w:rFonts w:ascii="Arial" w:hAnsi="Arial" w:cs="Arial"/>
              </w:rPr>
              <w:t>1R</w:t>
            </w:r>
          </w:p>
        </w:tc>
        <w:tc>
          <w:tcPr>
            <w:tcW w:w="1417" w:type="dxa"/>
          </w:tcPr>
          <w:p w:rsidR="00F25E89" w:rsidRPr="00F31B1A" w:rsidRDefault="00F25E89" w:rsidP="00F31B1A">
            <w:pPr>
              <w:spacing w:after="120" w:line="240" w:lineRule="auto"/>
              <w:jc w:val="center"/>
              <w:rPr>
                <w:rFonts w:ascii="Arial" w:hAnsi="Arial" w:cs="Arial"/>
              </w:rPr>
            </w:pPr>
            <w:r w:rsidRPr="00F31B1A">
              <w:rPr>
                <w:rFonts w:ascii="Arial" w:hAnsi="Arial" w:cs="Arial"/>
              </w:rPr>
              <w:t>500</w:t>
            </w:r>
          </w:p>
        </w:tc>
        <w:tc>
          <w:tcPr>
            <w:tcW w:w="1701" w:type="dxa"/>
          </w:tcPr>
          <w:p w:rsidR="00F25E89" w:rsidRPr="00F31B1A" w:rsidRDefault="00F25E89" w:rsidP="00F31B1A">
            <w:pPr>
              <w:spacing w:after="120" w:line="240" w:lineRule="auto"/>
              <w:jc w:val="center"/>
              <w:rPr>
                <w:rFonts w:ascii="Arial" w:hAnsi="Arial" w:cs="Arial"/>
              </w:rPr>
            </w:pPr>
            <w:r w:rsidRPr="00F31B1A">
              <w:rPr>
                <w:rFonts w:ascii="Arial" w:hAnsi="Arial" w:cs="Arial"/>
              </w:rPr>
              <w:t>1 950</w:t>
            </w:r>
          </w:p>
        </w:tc>
      </w:tr>
    </w:tbl>
    <w:p w:rsidR="00F25E89" w:rsidRDefault="00F25E89" w:rsidP="00CD6CE4">
      <w:pPr>
        <w:spacing w:after="0" w:line="240" w:lineRule="auto"/>
        <w:jc w:val="both"/>
        <w:rPr>
          <w:rFonts w:ascii="Arial" w:hAnsi="Arial" w:cs="Arial"/>
        </w:rPr>
      </w:pPr>
    </w:p>
    <w:p w:rsidR="00F25E89" w:rsidRDefault="00F25E89" w:rsidP="00BC1C7B">
      <w:pPr>
        <w:tabs>
          <w:tab w:val="left" w:pos="2835"/>
        </w:tabs>
        <w:spacing w:after="120" w:line="240" w:lineRule="auto"/>
        <w:jc w:val="both"/>
        <w:rPr>
          <w:rFonts w:ascii="Arial" w:hAnsi="Arial" w:cs="Arial"/>
        </w:rPr>
      </w:pPr>
      <w:r>
        <w:rPr>
          <w:rFonts w:ascii="Arial" w:hAnsi="Arial" w:cs="Arial"/>
        </w:rPr>
        <w:t>Pojištění zkratu a přepětí</w:t>
      </w:r>
      <w:r>
        <w:rPr>
          <w:rFonts w:ascii="Arial" w:hAnsi="Arial" w:cs="Arial"/>
        </w:rPr>
        <w:tab/>
        <w:t xml:space="preserve">- </w:t>
      </w:r>
      <w:r w:rsidRPr="009F66B9">
        <w:rPr>
          <w:rFonts w:ascii="Arial" w:hAnsi="Arial" w:cs="Arial"/>
          <w:highlight w:val="lightGray"/>
        </w:rPr>
        <w:t xml:space="preserve">VPP BD 2014  část </w:t>
      </w:r>
      <w:r w:rsidRPr="00E7091B">
        <w:rPr>
          <w:rFonts w:ascii="Arial" w:hAnsi="Arial" w:cs="Arial"/>
          <w:highlight w:val="yellow"/>
        </w:rPr>
        <w:t>D</w:t>
      </w:r>
      <w:r w:rsidRPr="009F66B9">
        <w:rPr>
          <w:rFonts w:ascii="Arial" w:hAnsi="Arial" w:cs="Arial"/>
          <w:highlight w:val="lightGray"/>
        </w:rPr>
        <w:t>. čl. I</w:t>
      </w:r>
      <w:r>
        <w:rPr>
          <w:rFonts w:ascii="Arial" w:hAnsi="Arial" w:cs="Arial"/>
        </w:rPr>
        <w:t xml:space="preserve"> – je-li výslovně ujednáno v pojistné smlouvě, pojištění se vztahuje na případ náhlého poškození nebo zničení předmětu pojištění nahodilou událostí, způsobenou pojistným nebezpečím zkratu nebo přepětí. Pojištění se vztahuje na (viz. název bodu 2), které jsou součástí bytového domu. Výše pojistného plnění je odvislé od toho, zda předmět pojištění je </w:t>
      </w:r>
      <w:r w:rsidRPr="00AE5C54">
        <w:rPr>
          <w:rFonts w:ascii="Arial" w:hAnsi="Arial" w:cs="Arial"/>
          <w:u w:val="single"/>
        </w:rPr>
        <w:t>poškozen</w:t>
      </w:r>
      <w:r>
        <w:rPr>
          <w:rFonts w:ascii="Arial" w:hAnsi="Arial" w:cs="Arial"/>
        </w:rPr>
        <w:t xml:space="preserve"> (přiměřené náklady na </w:t>
      </w:r>
      <w:r w:rsidRPr="000A6C21">
        <w:rPr>
          <w:rFonts w:ascii="Arial" w:hAnsi="Arial" w:cs="Arial"/>
          <w:i/>
          <w:iCs/>
        </w:rPr>
        <w:t>opravu)</w:t>
      </w:r>
      <w:r>
        <w:rPr>
          <w:rFonts w:ascii="Arial" w:hAnsi="Arial" w:cs="Arial"/>
        </w:rPr>
        <w:t xml:space="preserve"> nebo </w:t>
      </w:r>
      <w:r w:rsidRPr="00AE5C54">
        <w:rPr>
          <w:rFonts w:ascii="Arial" w:hAnsi="Arial" w:cs="Arial"/>
          <w:u w:val="single"/>
        </w:rPr>
        <w:t>zničen</w:t>
      </w:r>
      <w:r>
        <w:rPr>
          <w:rFonts w:ascii="Arial" w:hAnsi="Arial" w:cs="Arial"/>
        </w:rPr>
        <w:t xml:space="preserve"> (přiměřené náklady na </w:t>
      </w:r>
      <w:r w:rsidRPr="000A6C21">
        <w:rPr>
          <w:rFonts w:ascii="Arial" w:hAnsi="Arial" w:cs="Arial"/>
          <w:i/>
          <w:iCs/>
        </w:rPr>
        <w:t>znovuzřízení</w:t>
      </w:r>
      <w:r>
        <w:rPr>
          <w:rFonts w:ascii="Arial" w:hAnsi="Arial" w:cs="Arial"/>
        </w:rPr>
        <w:t xml:space="preserve">). </w:t>
      </w:r>
    </w:p>
    <w:p w:rsidR="005F2800" w:rsidRDefault="005F2800" w:rsidP="00BC1C7B">
      <w:pPr>
        <w:tabs>
          <w:tab w:val="left" w:pos="2835"/>
        </w:tabs>
        <w:spacing w:after="120" w:line="240" w:lineRule="auto"/>
        <w:jc w:val="both"/>
        <w:rPr>
          <w:rFonts w:ascii="Arial" w:hAnsi="Arial" w:cs="Arial"/>
        </w:rPr>
      </w:pPr>
    </w:p>
    <w:p w:rsidR="00F25E89" w:rsidRPr="00E2211E" w:rsidRDefault="00F25E89" w:rsidP="00E2211E">
      <w:pPr>
        <w:pStyle w:val="Odstavecseseznamem"/>
        <w:numPr>
          <w:ilvl w:val="0"/>
          <w:numId w:val="2"/>
        </w:numPr>
        <w:ind w:left="426" w:hanging="426"/>
        <w:jc w:val="both"/>
        <w:rPr>
          <w:rFonts w:ascii="Arial" w:hAnsi="Arial" w:cs="Arial"/>
          <w:b/>
          <w:bCs/>
        </w:rPr>
      </w:pPr>
      <w:r w:rsidRPr="00E2211E">
        <w:rPr>
          <w:rFonts w:ascii="Arial" w:hAnsi="Arial" w:cs="Arial"/>
          <w:b/>
          <w:bCs/>
        </w:rPr>
        <w:t>Hasící přístroje a hasící vybavení</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1985"/>
        <w:gridCol w:w="1134"/>
        <w:gridCol w:w="1417"/>
        <w:gridCol w:w="1701"/>
      </w:tblGrid>
      <w:tr w:rsidR="00F25E89" w:rsidRPr="00F31B1A">
        <w:tc>
          <w:tcPr>
            <w:tcW w:w="2835" w:type="dxa"/>
          </w:tcPr>
          <w:p w:rsidR="00F25E89" w:rsidRPr="00F31B1A" w:rsidRDefault="00F25E89" w:rsidP="00F31B1A">
            <w:pPr>
              <w:spacing w:after="120" w:line="240" w:lineRule="auto"/>
              <w:rPr>
                <w:rFonts w:ascii="Arial" w:hAnsi="Arial" w:cs="Arial"/>
              </w:rPr>
            </w:pPr>
            <w:r w:rsidRPr="00F31B1A">
              <w:rPr>
                <w:rFonts w:ascii="Arial" w:hAnsi="Arial" w:cs="Arial"/>
              </w:rPr>
              <w:t>Případy negativního působení pojist. nebezpečí</w:t>
            </w:r>
          </w:p>
        </w:tc>
        <w:tc>
          <w:tcPr>
            <w:tcW w:w="1985" w:type="dxa"/>
          </w:tcPr>
          <w:p w:rsidR="00F25E89" w:rsidRPr="00F31B1A" w:rsidRDefault="00F25E89" w:rsidP="00F31B1A">
            <w:pPr>
              <w:spacing w:after="120" w:line="240" w:lineRule="auto"/>
              <w:jc w:val="center"/>
              <w:rPr>
                <w:rFonts w:ascii="Arial" w:hAnsi="Arial" w:cs="Arial"/>
              </w:rPr>
            </w:pPr>
            <w:r w:rsidRPr="00F31B1A">
              <w:rPr>
                <w:rFonts w:ascii="Arial" w:hAnsi="Arial" w:cs="Arial"/>
              </w:rPr>
              <w:t>Horní hranice PP</w:t>
            </w:r>
          </w:p>
          <w:p w:rsidR="00F25E89" w:rsidRPr="00F31B1A" w:rsidRDefault="00F25E89" w:rsidP="00F31B1A">
            <w:pPr>
              <w:spacing w:after="0" w:line="240" w:lineRule="auto"/>
              <w:jc w:val="center"/>
              <w:rPr>
                <w:rFonts w:ascii="Arial" w:hAnsi="Arial" w:cs="Arial"/>
              </w:rPr>
            </w:pPr>
            <w:r w:rsidRPr="00F31B1A">
              <w:rPr>
                <w:rFonts w:ascii="Arial" w:hAnsi="Arial" w:cs="Arial"/>
              </w:rPr>
              <w:t>v Kč</w:t>
            </w:r>
          </w:p>
        </w:tc>
        <w:tc>
          <w:tcPr>
            <w:tcW w:w="1134" w:type="dxa"/>
          </w:tcPr>
          <w:p w:rsidR="00F25E89" w:rsidRPr="00F31B1A" w:rsidRDefault="00F25E89" w:rsidP="00F31B1A">
            <w:pPr>
              <w:spacing w:after="120" w:line="240" w:lineRule="auto"/>
              <w:jc w:val="center"/>
              <w:rPr>
                <w:rFonts w:ascii="Arial" w:hAnsi="Arial" w:cs="Arial"/>
              </w:rPr>
            </w:pPr>
            <w:r w:rsidRPr="00F31B1A">
              <w:rPr>
                <w:rFonts w:ascii="Arial" w:hAnsi="Arial" w:cs="Arial"/>
              </w:rPr>
              <w:t>Způsob</w:t>
            </w:r>
          </w:p>
          <w:p w:rsidR="00F25E89" w:rsidRPr="00F31B1A" w:rsidRDefault="00F25E89" w:rsidP="00F31B1A">
            <w:pPr>
              <w:spacing w:after="120" w:line="240" w:lineRule="auto"/>
              <w:jc w:val="center"/>
              <w:rPr>
                <w:rFonts w:ascii="Arial" w:hAnsi="Arial" w:cs="Arial"/>
              </w:rPr>
            </w:pPr>
            <w:r w:rsidRPr="00F31B1A">
              <w:rPr>
                <w:rFonts w:ascii="Arial" w:hAnsi="Arial" w:cs="Arial"/>
              </w:rPr>
              <w:t>pojištění</w:t>
            </w:r>
          </w:p>
        </w:tc>
        <w:tc>
          <w:tcPr>
            <w:tcW w:w="1417" w:type="dxa"/>
          </w:tcPr>
          <w:p w:rsidR="00F25E89" w:rsidRPr="00F31B1A" w:rsidRDefault="00F25E89" w:rsidP="00F31B1A">
            <w:pPr>
              <w:spacing w:after="120" w:line="240" w:lineRule="auto"/>
              <w:jc w:val="center"/>
              <w:rPr>
                <w:rFonts w:ascii="Arial" w:hAnsi="Arial" w:cs="Arial"/>
              </w:rPr>
            </w:pPr>
            <w:r w:rsidRPr="00F31B1A">
              <w:rPr>
                <w:rFonts w:ascii="Arial" w:hAnsi="Arial" w:cs="Arial"/>
              </w:rPr>
              <w:t>Spoluúčast</w:t>
            </w:r>
          </w:p>
          <w:p w:rsidR="00F25E89" w:rsidRPr="00F31B1A" w:rsidRDefault="00F25E89" w:rsidP="00F31B1A">
            <w:pPr>
              <w:spacing w:after="120" w:line="240" w:lineRule="auto"/>
              <w:jc w:val="center"/>
              <w:rPr>
                <w:rFonts w:ascii="Arial" w:hAnsi="Arial" w:cs="Arial"/>
              </w:rPr>
            </w:pPr>
            <w:r w:rsidRPr="00F31B1A">
              <w:rPr>
                <w:rFonts w:ascii="Arial" w:hAnsi="Arial" w:cs="Arial"/>
              </w:rPr>
              <w:t>v Kč</w:t>
            </w:r>
          </w:p>
        </w:tc>
        <w:tc>
          <w:tcPr>
            <w:tcW w:w="1701" w:type="dxa"/>
          </w:tcPr>
          <w:p w:rsidR="00F25E89" w:rsidRPr="00F31B1A" w:rsidRDefault="00F25E89" w:rsidP="00F31B1A">
            <w:pPr>
              <w:spacing w:after="120" w:line="240" w:lineRule="auto"/>
              <w:jc w:val="center"/>
              <w:rPr>
                <w:rFonts w:ascii="Arial" w:hAnsi="Arial" w:cs="Arial"/>
              </w:rPr>
            </w:pPr>
            <w:r w:rsidRPr="00F31B1A">
              <w:rPr>
                <w:rFonts w:ascii="Arial" w:hAnsi="Arial" w:cs="Arial"/>
              </w:rPr>
              <w:t>Roční pojistné</w:t>
            </w:r>
          </w:p>
          <w:p w:rsidR="00F25E89" w:rsidRPr="00F31B1A" w:rsidRDefault="00F25E89" w:rsidP="00F31B1A">
            <w:pPr>
              <w:spacing w:after="120" w:line="240" w:lineRule="auto"/>
              <w:jc w:val="center"/>
              <w:rPr>
                <w:rFonts w:ascii="Arial" w:hAnsi="Arial" w:cs="Arial"/>
              </w:rPr>
            </w:pPr>
            <w:r w:rsidRPr="00F31B1A">
              <w:rPr>
                <w:rFonts w:ascii="Arial" w:hAnsi="Arial" w:cs="Arial"/>
              </w:rPr>
              <w:t>v Kč</w:t>
            </w:r>
          </w:p>
        </w:tc>
      </w:tr>
      <w:tr w:rsidR="00F25E89" w:rsidRPr="00F31B1A">
        <w:tc>
          <w:tcPr>
            <w:tcW w:w="2835" w:type="dxa"/>
          </w:tcPr>
          <w:p w:rsidR="00F25E89" w:rsidRPr="00F31B1A" w:rsidRDefault="00F25E89" w:rsidP="00F31B1A">
            <w:pPr>
              <w:spacing w:after="120" w:line="240" w:lineRule="auto"/>
              <w:rPr>
                <w:rFonts w:ascii="Arial" w:hAnsi="Arial" w:cs="Arial"/>
              </w:rPr>
            </w:pPr>
            <w:r w:rsidRPr="00F31B1A">
              <w:rPr>
                <w:rFonts w:ascii="Arial" w:hAnsi="Arial" w:cs="Arial"/>
              </w:rPr>
              <w:t>Odcizení</w:t>
            </w:r>
          </w:p>
        </w:tc>
        <w:tc>
          <w:tcPr>
            <w:tcW w:w="1985" w:type="dxa"/>
          </w:tcPr>
          <w:p w:rsidR="00F25E89" w:rsidRPr="00F31B1A" w:rsidRDefault="00F25E89" w:rsidP="00F31B1A">
            <w:pPr>
              <w:spacing w:after="120" w:line="240" w:lineRule="auto"/>
              <w:jc w:val="center"/>
              <w:rPr>
                <w:rFonts w:ascii="Arial" w:hAnsi="Arial" w:cs="Arial"/>
              </w:rPr>
            </w:pPr>
            <w:r w:rsidRPr="00F31B1A">
              <w:rPr>
                <w:rFonts w:ascii="Arial" w:hAnsi="Arial" w:cs="Arial"/>
              </w:rPr>
              <w:t>10 000</w:t>
            </w:r>
          </w:p>
        </w:tc>
        <w:tc>
          <w:tcPr>
            <w:tcW w:w="1134" w:type="dxa"/>
          </w:tcPr>
          <w:p w:rsidR="00F25E89" w:rsidRPr="00F31B1A" w:rsidRDefault="00F25E89" w:rsidP="00F31B1A">
            <w:pPr>
              <w:spacing w:after="120" w:line="240" w:lineRule="auto"/>
              <w:jc w:val="center"/>
              <w:rPr>
                <w:rFonts w:ascii="Arial" w:hAnsi="Arial" w:cs="Arial"/>
              </w:rPr>
            </w:pPr>
            <w:r w:rsidRPr="00F31B1A">
              <w:rPr>
                <w:rFonts w:ascii="Arial" w:hAnsi="Arial" w:cs="Arial"/>
              </w:rPr>
              <w:t>1R</w:t>
            </w:r>
          </w:p>
        </w:tc>
        <w:tc>
          <w:tcPr>
            <w:tcW w:w="1417" w:type="dxa"/>
          </w:tcPr>
          <w:p w:rsidR="00F25E89" w:rsidRPr="00F31B1A" w:rsidRDefault="00F25E89" w:rsidP="00F31B1A">
            <w:pPr>
              <w:spacing w:after="120" w:line="240" w:lineRule="auto"/>
              <w:jc w:val="center"/>
              <w:rPr>
                <w:rFonts w:ascii="Arial" w:hAnsi="Arial" w:cs="Arial"/>
              </w:rPr>
            </w:pPr>
            <w:r w:rsidRPr="00F31B1A">
              <w:rPr>
                <w:rFonts w:ascii="Arial" w:hAnsi="Arial" w:cs="Arial"/>
              </w:rPr>
              <w:t>500</w:t>
            </w:r>
          </w:p>
        </w:tc>
        <w:tc>
          <w:tcPr>
            <w:tcW w:w="1701" w:type="dxa"/>
          </w:tcPr>
          <w:p w:rsidR="00F25E89" w:rsidRPr="00F31B1A" w:rsidRDefault="00F25E89" w:rsidP="00F31B1A">
            <w:pPr>
              <w:spacing w:after="120" w:line="240" w:lineRule="auto"/>
              <w:jc w:val="center"/>
              <w:rPr>
                <w:rFonts w:ascii="Arial" w:hAnsi="Arial" w:cs="Arial"/>
              </w:rPr>
            </w:pPr>
            <w:r w:rsidRPr="00F31B1A">
              <w:rPr>
                <w:rFonts w:ascii="Arial" w:hAnsi="Arial" w:cs="Arial"/>
              </w:rPr>
              <w:t>600</w:t>
            </w:r>
          </w:p>
        </w:tc>
      </w:tr>
    </w:tbl>
    <w:p w:rsidR="00F25E89" w:rsidRPr="00A16D1B" w:rsidRDefault="00F25E89" w:rsidP="009A33CD">
      <w:pPr>
        <w:pStyle w:val="Odstavecseseznamem"/>
        <w:spacing w:after="120" w:line="240" w:lineRule="auto"/>
        <w:jc w:val="both"/>
        <w:rPr>
          <w:rFonts w:ascii="Arial" w:hAnsi="Arial" w:cs="Arial"/>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16D1B">
        <w:rPr>
          <w:rFonts w:ascii="Arial" w:hAnsi="Arial" w:cs="Arial"/>
          <w:i/>
          <w:iCs/>
        </w:rPr>
        <w:t>Souhrn 1+2+3</w:t>
      </w:r>
      <w:r w:rsidRPr="00A16D1B">
        <w:rPr>
          <w:rFonts w:ascii="Arial" w:hAnsi="Arial" w:cs="Arial"/>
          <w:i/>
          <w:iCs/>
        </w:rPr>
        <w:tab/>
        <w:t xml:space="preserve">           </w:t>
      </w:r>
      <w:r w:rsidRPr="00A16D1B">
        <w:rPr>
          <w:rFonts w:ascii="Arial" w:hAnsi="Arial" w:cs="Arial"/>
          <w:b/>
          <w:bCs/>
          <w:i/>
          <w:iCs/>
        </w:rPr>
        <w:t>13 629</w:t>
      </w:r>
    </w:p>
    <w:p w:rsidR="00F25E89" w:rsidRDefault="00F25E89" w:rsidP="009A33CD">
      <w:pPr>
        <w:tabs>
          <w:tab w:val="left" w:pos="2835"/>
        </w:tabs>
        <w:spacing w:after="120" w:line="240" w:lineRule="auto"/>
        <w:jc w:val="both"/>
        <w:rPr>
          <w:rFonts w:ascii="Arial" w:hAnsi="Arial" w:cs="Arial"/>
        </w:rPr>
      </w:pPr>
      <w:r w:rsidRPr="009A33CD">
        <w:rPr>
          <w:rFonts w:ascii="Arial" w:hAnsi="Arial" w:cs="Arial"/>
        </w:rPr>
        <w:t>Odcizení</w:t>
      </w:r>
      <w:r>
        <w:rPr>
          <w:rFonts w:ascii="Arial" w:hAnsi="Arial" w:cs="Arial"/>
        </w:rPr>
        <w:t xml:space="preserve">    </w:t>
      </w:r>
      <w:r w:rsidRPr="009A33CD">
        <w:rPr>
          <w:rFonts w:ascii="Arial" w:hAnsi="Arial" w:cs="Arial"/>
        </w:rPr>
        <w:t xml:space="preserve">- </w:t>
      </w:r>
      <w:r w:rsidRPr="009F66B9">
        <w:rPr>
          <w:rFonts w:ascii="Arial" w:hAnsi="Arial" w:cs="Arial"/>
          <w:highlight w:val="lightGray"/>
        </w:rPr>
        <w:t xml:space="preserve">VPP BD 2014  část </w:t>
      </w:r>
      <w:r w:rsidRPr="00E7091B">
        <w:rPr>
          <w:rFonts w:ascii="Arial" w:hAnsi="Arial" w:cs="Arial"/>
          <w:highlight w:val="yellow"/>
        </w:rPr>
        <w:t>C</w:t>
      </w:r>
      <w:r w:rsidRPr="009F66B9">
        <w:rPr>
          <w:rFonts w:ascii="Arial" w:hAnsi="Arial" w:cs="Arial"/>
          <w:highlight w:val="lightGray"/>
        </w:rPr>
        <w:t>. čl. I</w:t>
      </w:r>
      <w:r w:rsidRPr="009A33CD">
        <w:rPr>
          <w:rFonts w:ascii="Arial" w:hAnsi="Arial" w:cs="Arial"/>
        </w:rPr>
        <w:t xml:space="preserve"> </w:t>
      </w:r>
      <w:r>
        <w:rPr>
          <w:rFonts w:ascii="Arial" w:hAnsi="Arial" w:cs="Arial"/>
        </w:rPr>
        <w:t>- je-li výslovně ujednáno v pojistné smlouvě, pojištění se vztahuje na případ pojistného náhlého poškození nebo zničení předmětu pojištění krádeží nebo loupežným přepadením.</w:t>
      </w:r>
    </w:p>
    <w:p w:rsidR="00F25E89" w:rsidRPr="009A33CD" w:rsidRDefault="00F25E89" w:rsidP="009A33CD">
      <w:pPr>
        <w:tabs>
          <w:tab w:val="left" w:pos="2835"/>
        </w:tabs>
        <w:spacing w:after="120" w:line="240" w:lineRule="auto"/>
        <w:jc w:val="both"/>
        <w:rPr>
          <w:rFonts w:ascii="Arial" w:hAnsi="Arial" w:cs="Arial"/>
        </w:rPr>
      </w:pPr>
    </w:p>
    <w:p w:rsidR="00F25E89" w:rsidRDefault="00F25E89" w:rsidP="00400190">
      <w:pPr>
        <w:spacing w:after="120" w:line="240" w:lineRule="auto"/>
        <w:jc w:val="both"/>
        <w:rPr>
          <w:rFonts w:ascii="Arial" w:hAnsi="Arial" w:cs="Arial"/>
        </w:rPr>
      </w:pPr>
      <w:r w:rsidRPr="008E1F8E">
        <w:rPr>
          <w:rFonts w:ascii="Arial" w:hAnsi="Arial" w:cs="Arial"/>
          <w:u w:val="single"/>
        </w:rPr>
        <w:t xml:space="preserve">V článku </w:t>
      </w:r>
      <w:r>
        <w:rPr>
          <w:rFonts w:ascii="Arial" w:hAnsi="Arial" w:cs="Arial"/>
          <w:u w:val="single"/>
        </w:rPr>
        <w:t>VII</w:t>
      </w:r>
      <w:r w:rsidRPr="008E1F8E">
        <w:rPr>
          <w:rFonts w:ascii="Arial" w:hAnsi="Arial" w:cs="Arial"/>
          <w:u w:val="single"/>
        </w:rPr>
        <w:t xml:space="preserve"> části </w:t>
      </w:r>
      <w:r>
        <w:rPr>
          <w:rFonts w:ascii="Arial" w:hAnsi="Arial" w:cs="Arial"/>
          <w:u w:val="single"/>
        </w:rPr>
        <w:t>C</w:t>
      </w:r>
      <w:r>
        <w:rPr>
          <w:rFonts w:ascii="Arial" w:hAnsi="Arial" w:cs="Arial"/>
        </w:rPr>
        <w:t xml:space="preserve">  je stanoveno pokud došlo k odcizení vzniká nárok na poskytnutí částky odpovídající přiměřeným nákladům na znovuzřízení nového předmětu pojištění. Podmínkou však je, že pojištěný prokáže pojistiteli vznik pojistné události buď:</w:t>
      </w:r>
    </w:p>
    <w:p w:rsidR="00F25E89" w:rsidRDefault="00F25E89" w:rsidP="00400190">
      <w:pPr>
        <w:pStyle w:val="Odstavecseseznamem"/>
        <w:numPr>
          <w:ilvl w:val="0"/>
          <w:numId w:val="8"/>
        </w:numPr>
        <w:spacing w:after="120" w:line="240" w:lineRule="auto"/>
        <w:ind w:left="425" w:hanging="425"/>
        <w:jc w:val="both"/>
        <w:rPr>
          <w:rFonts w:ascii="Arial" w:hAnsi="Arial" w:cs="Arial"/>
        </w:rPr>
      </w:pPr>
      <w:r>
        <w:rPr>
          <w:rFonts w:ascii="Arial" w:hAnsi="Arial" w:cs="Arial"/>
        </w:rPr>
        <w:t>Usnesením orgánu činného v trestním řízení o zahájení trestního stíhání určité osoby pro podezření ze spáchání trestného činu krádež předmětu pojištění.</w:t>
      </w:r>
    </w:p>
    <w:p w:rsidR="00F25E89" w:rsidRDefault="00F25E89" w:rsidP="00400190">
      <w:pPr>
        <w:pStyle w:val="Odstavecseseznamem"/>
        <w:numPr>
          <w:ilvl w:val="0"/>
          <w:numId w:val="8"/>
        </w:numPr>
        <w:spacing w:after="120" w:line="240" w:lineRule="auto"/>
        <w:ind w:left="425" w:hanging="425"/>
        <w:jc w:val="both"/>
        <w:rPr>
          <w:rFonts w:ascii="Arial" w:hAnsi="Arial" w:cs="Arial"/>
        </w:rPr>
      </w:pPr>
      <w:r>
        <w:rPr>
          <w:rFonts w:ascii="Arial" w:hAnsi="Arial" w:cs="Arial"/>
        </w:rPr>
        <w:t>Usnesením orgánu činného v trestním řízení o odložení nebo jiném vyřízení věci podezření ze spáchání trestného činu krádeže (zejména tehdy, nepodařilo-li se zjistit osobu pachatele trestného činu krádeže).</w:t>
      </w:r>
    </w:p>
    <w:p w:rsidR="00F25E89" w:rsidRPr="00D27EA5" w:rsidRDefault="00F25E89" w:rsidP="00BF4AD3">
      <w:pPr>
        <w:pStyle w:val="Odstavecseseznamem"/>
        <w:ind w:left="426"/>
        <w:jc w:val="both"/>
        <w:rPr>
          <w:rFonts w:ascii="Arial" w:hAnsi="Arial" w:cs="Arial"/>
        </w:rPr>
      </w:pPr>
    </w:p>
    <w:p w:rsidR="00F25E89" w:rsidRDefault="00F25E89" w:rsidP="00CD6CE4">
      <w:pPr>
        <w:jc w:val="both"/>
        <w:rPr>
          <w:rFonts w:ascii="Arial" w:hAnsi="Arial" w:cs="Arial"/>
        </w:rPr>
      </w:pPr>
      <w:r>
        <w:rPr>
          <w:rFonts w:ascii="Arial" w:hAnsi="Arial" w:cs="Arial"/>
        </w:rPr>
        <w:t xml:space="preserve"> </w:t>
      </w:r>
      <w:r>
        <w:rPr>
          <w:rFonts w:ascii="Arial" w:hAnsi="Arial" w:cs="Arial"/>
          <w:b/>
          <w:bCs/>
        </w:rPr>
        <w:t xml:space="preserve">II. </w:t>
      </w:r>
      <w:r w:rsidRPr="00CD6CE4">
        <w:rPr>
          <w:rFonts w:ascii="Arial" w:hAnsi="Arial" w:cs="Arial"/>
          <w:b/>
          <w:bCs/>
          <w:u w:val="single"/>
        </w:rPr>
        <w:t>P</w:t>
      </w:r>
      <w:r>
        <w:rPr>
          <w:rFonts w:ascii="Arial" w:hAnsi="Arial" w:cs="Arial"/>
          <w:b/>
          <w:bCs/>
          <w:u w:val="single"/>
        </w:rPr>
        <w:t>OJIŠTĚNÍ ODPOVĚDNOSTI</w:t>
      </w:r>
      <w:r>
        <w:rPr>
          <w:rFonts w:ascii="Arial" w:hAnsi="Arial" w:cs="Arial"/>
        </w:rPr>
        <w:t xml:space="preserve"> – předmět pojištění:</w:t>
      </w:r>
    </w:p>
    <w:p w:rsidR="00F25E89" w:rsidRPr="00995E89" w:rsidRDefault="00F25E89" w:rsidP="00400190">
      <w:pPr>
        <w:spacing w:after="120"/>
        <w:jc w:val="both"/>
        <w:rPr>
          <w:rFonts w:ascii="Arial" w:hAnsi="Arial" w:cs="Arial"/>
        </w:rPr>
      </w:pPr>
      <w:r w:rsidRPr="00995E89">
        <w:rPr>
          <w:rFonts w:ascii="Arial" w:hAnsi="Arial" w:cs="Arial"/>
        </w:rPr>
        <w:t xml:space="preserve">Pro </w:t>
      </w:r>
      <w:r>
        <w:rPr>
          <w:rFonts w:ascii="Arial" w:hAnsi="Arial" w:cs="Arial"/>
        </w:rPr>
        <w:t xml:space="preserve">případ právním předpisem stanovené odpovědnosti pojištěného za újmu kterou způsobil a to v rozsahu </w:t>
      </w:r>
      <w:r w:rsidRPr="009A33CD">
        <w:rPr>
          <w:rFonts w:ascii="Arial" w:hAnsi="Arial" w:cs="Arial"/>
        </w:rPr>
        <w:t xml:space="preserve">- </w:t>
      </w:r>
      <w:r w:rsidRPr="009F66B9">
        <w:rPr>
          <w:rFonts w:ascii="Arial" w:hAnsi="Arial" w:cs="Arial"/>
          <w:highlight w:val="lightGray"/>
        </w:rPr>
        <w:t xml:space="preserve">VPP BD 2014  část </w:t>
      </w:r>
      <w:r w:rsidRPr="00E7091B">
        <w:rPr>
          <w:rFonts w:ascii="Arial" w:hAnsi="Arial" w:cs="Arial"/>
          <w:highlight w:val="yellow"/>
        </w:rPr>
        <w:t>F</w:t>
      </w:r>
      <w:r w:rsidRPr="009F66B9">
        <w:rPr>
          <w:rFonts w:ascii="Arial" w:hAnsi="Arial" w:cs="Arial"/>
          <w:highlight w:val="lightGray"/>
        </w:rPr>
        <w:t>. čl. I odst. 1,</w:t>
      </w:r>
      <w:r>
        <w:rPr>
          <w:rFonts w:ascii="Arial" w:hAnsi="Arial" w:cs="Arial"/>
        </w:rPr>
        <w:t xml:space="preserve">  v souvislosti s činností nebo vztahem pojištěného jako vlastníka, držitele nebo správce nemovitosti na adrese Zdiměřická 1455, Praha 4 v části </w:t>
      </w:r>
      <w:r w:rsidRPr="006F5529">
        <w:rPr>
          <w:rFonts w:ascii="Arial" w:hAnsi="Arial" w:cs="Arial"/>
        </w:rPr>
        <w:t>POJIŠTĚNÍ MAJETKU</w:t>
      </w:r>
      <w:r>
        <w:rPr>
          <w:rFonts w:ascii="Arial" w:hAnsi="Arial" w:cs="Arial"/>
        </w:rPr>
        <w:t xml:space="preserve"> jako místo pojištění.</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2"/>
        <w:gridCol w:w="2268"/>
        <w:gridCol w:w="3261"/>
      </w:tblGrid>
      <w:tr w:rsidR="00F25E89" w:rsidRPr="00F31B1A">
        <w:tc>
          <w:tcPr>
            <w:tcW w:w="3402" w:type="dxa"/>
          </w:tcPr>
          <w:p w:rsidR="00F25E89" w:rsidRPr="00F31B1A" w:rsidRDefault="00F25E89" w:rsidP="00F31B1A">
            <w:pPr>
              <w:spacing w:after="120" w:line="240" w:lineRule="auto"/>
              <w:rPr>
                <w:rFonts w:ascii="Arial" w:hAnsi="Arial" w:cs="Arial"/>
              </w:rPr>
            </w:pPr>
            <w:r w:rsidRPr="00F31B1A">
              <w:rPr>
                <w:rFonts w:ascii="Arial" w:hAnsi="Arial" w:cs="Arial"/>
              </w:rPr>
              <w:t xml:space="preserve">Limit pojistného plnění v Kč </w:t>
            </w:r>
          </w:p>
        </w:tc>
        <w:tc>
          <w:tcPr>
            <w:tcW w:w="2268" w:type="dxa"/>
          </w:tcPr>
          <w:p w:rsidR="00F25E89" w:rsidRPr="00F31B1A" w:rsidRDefault="00F25E89" w:rsidP="00F31B1A">
            <w:pPr>
              <w:spacing w:after="120" w:line="240" w:lineRule="auto"/>
              <w:jc w:val="center"/>
              <w:rPr>
                <w:rFonts w:ascii="Arial" w:hAnsi="Arial" w:cs="Arial"/>
              </w:rPr>
            </w:pPr>
            <w:r w:rsidRPr="00F31B1A">
              <w:rPr>
                <w:rFonts w:ascii="Arial" w:hAnsi="Arial" w:cs="Arial"/>
              </w:rPr>
              <w:t>Spoluúčast v Kč</w:t>
            </w:r>
          </w:p>
        </w:tc>
        <w:tc>
          <w:tcPr>
            <w:tcW w:w="3261" w:type="dxa"/>
          </w:tcPr>
          <w:p w:rsidR="00F25E89" w:rsidRPr="00F31B1A" w:rsidRDefault="00F25E89" w:rsidP="00F31B1A">
            <w:pPr>
              <w:spacing w:after="120" w:line="240" w:lineRule="auto"/>
              <w:jc w:val="center"/>
              <w:rPr>
                <w:rFonts w:ascii="Arial" w:hAnsi="Arial" w:cs="Arial"/>
              </w:rPr>
            </w:pPr>
            <w:r w:rsidRPr="00F31B1A">
              <w:rPr>
                <w:rFonts w:ascii="Arial" w:hAnsi="Arial" w:cs="Arial"/>
              </w:rPr>
              <w:t>Roční pojistné v Kč</w:t>
            </w:r>
          </w:p>
        </w:tc>
      </w:tr>
      <w:tr w:rsidR="00F25E89" w:rsidRPr="00F31B1A">
        <w:tc>
          <w:tcPr>
            <w:tcW w:w="3402" w:type="dxa"/>
          </w:tcPr>
          <w:p w:rsidR="00F25E89" w:rsidRPr="00F31B1A" w:rsidRDefault="00F25E89" w:rsidP="00F31B1A">
            <w:pPr>
              <w:spacing w:after="120" w:line="240" w:lineRule="auto"/>
              <w:jc w:val="center"/>
              <w:rPr>
                <w:rFonts w:ascii="Arial" w:hAnsi="Arial" w:cs="Arial"/>
              </w:rPr>
            </w:pPr>
            <w:r w:rsidRPr="00F31B1A">
              <w:rPr>
                <w:rFonts w:ascii="Arial" w:hAnsi="Arial" w:cs="Arial"/>
              </w:rPr>
              <w:t>3 000 000</w:t>
            </w:r>
          </w:p>
        </w:tc>
        <w:tc>
          <w:tcPr>
            <w:tcW w:w="2268" w:type="dxa"/>
          </w:tcPr>
          <w:p w:rsidR="00F25E89" w:rsidRPr="00F31B1A" w:rsidRDefault="00F25E89" w:rsidP="00F31B1A">
            <w:pPr>
              <w:spacing w:after="120" w:line="240" w:lineRule="auto"/>
              <w:jc w:val="center"/>
              <w:rPr>
                <w:rFonts w:ascii="Arial" w:hAnsi="Arial" w:cs="Arial"/>
              </w:rPr>
            </w:pPr>
            <w:r w:rsidRPr="00F31B1A">
              <w:rPr>
                <w:rFonts w:ascii="Arial" w:hAnsi="Arial" w:cs="Arial"/>
              </w:rPr>
              <w:t>1 000</w:t>
            </w:r>
          </w:p>
        </w:tc>
        <w:tc>
          <w:tcPr>
            <w:tcW w:w="3261" w:type="dxa"/>
          </w:tcPr>
          <w:p w:rsidR="00F25E89" w:rsidRPr="00F31B1A" w:rsidRDefault="00F25E89" w:rsidP="00F31B1A">
            <w:pPr>
              <w:spacing w:after="120" w:line="240" w:lineRule="auto"/>
              <w:jc w:val="center"/>
              <w:rPr>
                <w:rFonts w:ascii="Arial" w:hAnsi="Arial" w:cs="Arial"/>
              </w:rPr>
            </w:pPr>
            <w:r w:rsidRPr="00F31B1A">
              <w:rPr>
                <w:rFonts w:ascii="Arial" w:hAnsi="Arial" w:cs="Arial"/>
              </w:rPr>
              <w:t>4 358</w:t>
            </w:r>
          </w:p>
        </w:tc>
      </w:tr>
    </w:tbl>
    <w:p w:rsidR="00F25E89" w:rsidRDefault="00F25E89" w:rsidP="006F67F4">
      <w:pPr>
        <w:rPr>
          <w:rFonts w:ascii="Arial" w:hAnsi="Arial" w:cs="Arial"/>
          <w:b/>
          <w:bCs/>
          <w:i/>
          <w:i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Pr="00A16D1B">
        <w:rPr>
          <w:rFonts w:ascii="Arial" w:hAnsi="Arial" w:cs="Arial"/>
          <w:b/>
          <w:bCs/>
          <w:i/>
          <w:iCs/>
        </w:rPr>
        <w:t>17</w:t>
      </w:r>
      <w:r>
        <w:rPr>
          <w:rFonts w:ascii="Arial" w:hAnsi="Arial" w:cs="Arial"/>
          <w:b/>
          <w:bCs/>
          <w:i/>
          <w:iCs/>
        </w:rPr>
        <w:t> </w:t>
      </w:r>
      <w:r w:rsidRPr="00A16D1B">
        <w:rPr>
          <w:rFonts w:ascii="Arial" w:hAnsi="Arial" w:cs="Arial"/>
          <w:b/>
          <w:bCs/>
          <w:i/>
          <w:iCs/>
        </w:rPr>
        <w:t>987</w:t>
      </w:r>
    </w:p>
    <w:p w:rsidR="00F25E89" w:rsidRDefault="00F25E89" w:rsidP="00400190">
      <w:pPr>
        <w:spacing w:after="120"/>
        <w:jc w:val="both"/>
        <w:rPr>
          <w:rFonts w:ascii="Arial" w:hAnsi="Arial" w:cs="Arial"/>
        </w:rPr>
      </w:pPr>
      <w:r w:rsidRPr="008E1F8E">
        <w:rPr>
          <w:rFonts w:ascii="Arial" w:hAnsi="Arial" w:cs="Arial"/>
          <w:u w:val="single"/>
        </w:rPr>
        <w:t xml:space="preserve">V článku </w:t>
      </w:r>
      <w:r>
        <w:rPr>
          <w:rFonts w:ascii="Arial" w:hAnsi="Arial" w:cs="Arial"/>
          <w:u w:val="single"/>
        </w:rPr>
        <w:t>I</w:t>
      </w:r>
      <w:r w:rsidRPr="008E1F8E">
        <w:rPr>
          <w:rFonts w:ascii="Arial" w:hAnsi="Arial" w:cs="Arial"/>
          <w:u w:val="single"/>
        </w:rPr>
        <w:t xml:space="preserve"> části </w:t>
      </w:r>
      <w:r>
        <w:rPr>
          <w:rFonts w:ascii="Arial" w:hAnsi="Arial" w:cs="Arial"/>
          <w:u w:val="single"/>
        </w:rPr>
        <w:t>F odst. 4</w:t>
      </w:r>
      <w:r>
        <w:rPr>
          <w:rFonts w:ascii="Arial" w:hAnsi="Arial" w:cs="Arial"/>
        </w:rPr>
        <w:t xml:space="preserve">  je konstatováno, že je-li v pojistné smlouvě pojistníkem společenství vlastníků nebo bytové družstvo, vztahuje se toto pojištění na odpovědnost </w:t>
      </w:r>
      <w:r>
        <w:rPr>
          <w:rFonts w:ascii="Arial" w:hAnsi="Arial" w:cs="Arial"/>
        </w:rPr>
        <w:lastRenderedPageBreak/>
        <w:t>pojištěného za finanční újmu, kterou způsobí porušením povinností stanovených právním předpisem a vyplývajících z jeho funkce s tím, že pojištěným pro účely pojištění se rozumí člen výboru a předseda SV, dále člen a předseda představenstva a člen kontrolní komise bytového družstva.</w:t>
      </w:r>
    </w:p>
    <w:p w:rsidR="00F25E89" w:rsidRDefault="00F25E89" w:rsidP="00400190">
      <w:pPr>
        <w:spacing w:after="120"/>
        <w:jc w:val="both"/>
        <w:rPr>
          <w:rFonts w:ascii="Arial" w:hAnsi="Arial" w:cs="Arial"/>
        </w:rPr>
      </w:pPr>
      <w:r w:rsidRPr="008E1F8E">
        <w:rPr>
          <w:rFonts w:ascii="Arial" w:hAnsi="Arial" w:cs="Arial"/>
          <w:u w:val="single"/>
        </w:rPr>
        <w:t xml:space="preserve">V článku </w:t>
      </w:r>
      <w:r>
        <w:rPr>
          <w:rFonts w:ascii="Arial" w:hAnsi="Arial" w:cs="Arial"/>
          <w:u w:val="single"/>
        </w:rPr>
        <w:t>III</w:t>
      </w:r>
      <w:r w:rsidRPr="008E1F8E">
        <w:rPr>
          <w:rFonts w:ascii="Arial" w:hAnsi="Arial" w:cs="Arial"/>
          <w:u w:val="single"/>
        </w:rPr>
        <w:t xml:space="preserve"> části </w:t>
      </w:r>
      <w:r>
        <w:rPr>
          <w:rFonts w:ascii="Arial" w:hAnsi="Arial" w:cs="Arial"/>
          <w:u w:val="single"/>
        </w:rPr>
        <w:t>F odst. 1</w:t>
      </w:r>
      <w:r>
        <w:rPr>
          <w:rFonts w:ascii="Arial" w:hAnsi="Arial" w:cs="Arial"/>
        </w:rPr>
        <w:t xml:space="preserve"> – pojištění se nevztahuje za újmu způsobenou prodlením se splněním zákonné nebo smluvní povinnosti spočívající v tom, že pojištěný nesplnil svou zákonnou nebo smluvní povinnost. V odst. 8 se pojištění dále nevztahuje za újmu pojištěného  člena a předsedu představenstva a člena kontrolní komise např.  – způsobenou vyplacením jakékoliv odměny pojištěnému, která byla vyplacena bez předchozího souhlasu shromáždění vlastníků jednotek, příp. jiného orgánu oprávněného rozhodovat o vyplácení jakékoliv odměny.  </w:t>
      </w:r>
    </w:p>
    <w:p w:rsidR="00F25E89" w:rsidRDefault="00F25E89" w:rsidP="006F67F4">
      <w:pPr>
        <w:rPr>
          <w:rFonts w:ascii="Arial" w:hAnsi="Arial" w:cs="Arial"/>
          <w:b/>
          <w:bCs/>
          <w:u w:val="single"/>
        </w:rPr>
      </w:pPr>
    </w:p>
    <w:p w:rsidR="00F25E89" w:rsidRPr="008408B6" w:rsidRDefault="00F25E89" w:rsidP="006F67F4">
      <w:pPr>
        <w:rPr>
          <w:rFonts w:ascii="Arial" w:hAnsi="Arial" w:cs="Arial"/>
        </w:rPr>
      </w:pPr>
      <w:r w:rsidRPr="008408B6">
        <w:rPr>
          <w:rFonts w:ascii="Arial" w:hAnsi="Arial" w:cs="Arial"/>
          <w:b/>
          <w:bCs/>
          <w:u w:val="single"/>
        </w:rPr>
        <w:t>Roční výše pojistného za jednotlivá pojištění činí celkově  17 983 Kč</w:t>
      </w:r>
      <w:r w:rsidRPr="008408B6">
        <w:rPr>
          <w:rFonts w:ascii="Arial" w:hAnsi="Arial" w:cs="Arial"/>
          <w:b/>
          <w:bCs/>
        </w:rPr>
        <w:t xml:space="preserve"> </w:t>
      </w:r>
      <w:r>
        <w:rPr>
          <w:rFonts w:ascii="Arial" w:hAnsi="Arial" w:cs="Arial"/>
        </w:rPr>
        <w:t>– datum splátky pojistného je vždy 14. srpna příslušného roku.</w:t>
      </w:r>
    </w:p>
    <w:p w:rsidR="00F25E89" w:rsidRDefault="00F25E89" w:rsidP="00FB660D">
      <w:pPr>
        <w:jc w:val="both"/>
        <w:rPr>
          <w:rFonts w:ascii="Arial" w:hAnsi="Arial" w:cs="Arial"/>
          <w:u w:val="single"/>
        </w:rPr>
      </w:pPr>
      <w:r w:rsidRPr="00001941">
        <w:rPr>
          <w:rFonts w:ascii="Arial" w:hAnsi="Arial" w:cs="Arial"/>
          <w:u w:val="single"/>
        </w:rPr>
        <w:t>V pojistné smlouvě je stanovena povinnost oznámit vznik škodné události na určené</w:t>
      </w:r>
      <w:r>
        <w:rPr>
          <w:rFonts w:ascii="Arial" w:hAnsi="Arial" w:cs="Arial"/>
          <w:u w:val="single"/>
        </w:rPr>
        <w:t xml:space="preserve"> </w:t>
      </w:r>
      <w:r w:rsidRPr="00001941">
        <w:rPr>
          <w:rFonts w:ascii="Arial" w:hAnsi="Arial" w:cs="Arial"/>
          <w:u w:val="single"/>
        </w:rPr>
        <w:t>telefonní číslo nebo adresu pojišťovny</w:t>
      </w:r>
      <w:r>
        <w:rPr>
          <w:rFonts w:ascii="Arial" w:hAnsi="Arial" w:cs="Arial"/>
          <w:u w:val="single"/>
        </w:rPr>
        <w:t xml:space="preserve"> ve stanoveném čase</w:t>
      </w:r>
      <w:r w:rsidRPr="00001941">
        <w:rPr>
          <w:rFonts w:ascii="Arial" w:hAnsi="Arial" w:cs="Arial"/>
          <w:u w:val="single"/>
        </w:rPr>
        <w:t>.</w:t>
      </w:r>
    </w:p>
    <w:p w:rsidR="00F25E89" w:rsidRDefault="00F25E89" w:rsidP="001C6A79">
      <w:pPr>
        <w:spacing w:after="120"/>
        <w:rPr>
          <w:rFonts w:ascii="Arial" w:hAnsi="Arial" w:cs="Arial"/>
          <w:b/>
          <w:bCs/>
        </w:rPr>
      </w:pPr>
      <w:r>
        <w:rPr>
          <w:rFonts w:ascii="Arial" w:hAnsi="Arial" w:cs="Arial"/>
          <w:b/>
          <w:bCs/>
        </w:rPr>
        <w:t>Souhrnné limity pojistného plnění:</w:t>
      </w:r>
    </w:p>
    <w:p w:rsidR="00F25E89" w:rsidRDefault="00F25E89" w:rsidP="001C6A79">
      <w:pPr>
        <w:spacing w:after="120"/>
        <w:jc w:val="both"/>
        <w:rPr>
          <w:rFonts w:ascii="Arial" w:hAnsi="Arial" w:cs="Arial"/>
          <w:b/>
          <w:bCs/>
          <w:i/>
          <w:iCs/>
        </w:rPr>
      </w:pPr>
      <w:r>
        <w:rPr>
          <w:rFonts w:ascii="Arial" w:hAnsi="Arial" w:cs="Arial"/>
        </w:rPr>
        <w:t xml:space="preserve">Limit pojistného plnění ve výši </w:t>
      </w:r>
      <w:r w:rsidRPr="0026630D">
        <w:rPr>
          <w:rFonts w:ascii="Arial" w:hAnsi="Arial" w:cs="Arial"/>
          <w:u w:val="single"/>
        </w:rPr>
        <w:t>20 000 000</w:t>
      </w:r>
      <w:r>
        <w:rPr>
          <w:rFonts w:ascii="Arial" w:hAnsi="Arial" w:cs="Arial"/>
        </w:rPr>
        <w:t xml:space="preserve"> Kč je horní hranicí pojistného plnění ze všech pojištění sjednaných pojistnou smlouvou za pojistné události nastalé v každém jednom roce trvání účinnosti pojistné smlouvy způsobené nebezpečími </w:t>
      </w:r>
      <w:r w:rsidRPr="0026630D">
        <w:rPr>
          <w:rFonts w:ascii="Arial" w:hAnsi="Arial" w:cs="Arial"/>
          <w:b/>
          <w:bCs/>
          <w:i/>
          <w:iCs/>
        </w:rPr>
        <w:t>vichřice, krupobití, sesouvání půdy</w:t>
      </w:r>
      <w:r w:rsidRPr="00BD2ABD">
        <w:rPr>
          <w:rFonts w:ascii="Arial" w:hAnsi="Arial" w:cs="Arial"/>
          <w:b/>
          <w:bCs/>
          <w:i/>
          <w:iCs/>
        </w:rPr>
        <w:t xml:space="preserve">, zřícení skal nebo zemin, lavina, pád stromů, stožárů a jiných předmětů, zemětřesení, tíha sněhu nebo námrazy, náraz vozidla, kouř, nadzvuková vlna, vodovodní škoda. </w:t>
      </w:r>
    </w:p>
    <w:p w:rsidR="00F25E89" w:rsidRDefault="00F25E89" w:rsidP="00A831ED">
      <w:pPr>
        <w:jc w:val="both"/>
        <w:rPr>
          <w:rFonts w:ascii="Arial" w:hAnsi="Arial" w:cs="Arial"/>
          <w:b/>
          <w:bCs/>
        </w:rPr>
      </w:pPr>
      <w:r>
        <w:rPr>
          <w:rFonts w:ascii="Arial" w:hAnsi="Arial" w:cs="Arial"/>
        </w:rPr>
        <w:t xml:space="preserve">Limit pojistného plnění ve výši </w:t>
      </w:r>
      <w:r w:rsidRPr="0026630D">
        <w:rPr>
          <w:rFonts w:ascii="Arial" w:hAnsi="Arial" w:cs="Arial"/>
          <w:u w:val="single"/>
        </w:rPr>
        <w:t>1 000 000</w:t>
      </w:r>
      <w:r>
        <w:rPr>
          <w:rFonts w:ascii="Arial" w:hAnsi="Arial" w:cs="Arial"/>
        </w:rPr>
        <w:t xml:space="preserve"> Kč je horní hranicí pojistného plnění</w:t>
      </w:r>
      <w:r w:rsidRPr="0026630D">
        <w:rPr>
          <w:rFonts w:ascii="Arial" w:hAnsi="Arial" w:cs="Arial"/>
        </w:rPr>
        <w:t xml:space="preserve"> </w:t>
      </w:r>
      <w:r>
        <w:rPr>
          <w:rFonts w:ascii="Arial" w:hAnsi="Arial" w:cs="Arial"/>
        </w:rPr>
        <w:t xml:space="preserve">ze všech pojištění sjednaných pojistnou smlouvou za pojistné události </w:t>
      </w:r>
      <w:r w:rsidRPr="00BD2ABD">
        <w:rPr>
          <w:rFonts w:ascii="Arial" w:hAnsi="Arial" w:cs="Arial"/>
        </w:rPr>
        <w:t xml:space="preserve">nastalé v době trvání účinnosti pojistné smlouvy a způsobené pojistným nebezpečím </w:t>
      </w:r>
      <w:r w:rsidRPr="00BD2ABD">
        <w:rPr>
          <w:rFonts w:ascii="Arial" w:hAnsi="Arial" w:cs="Arial"/>
          <w:b/>
          <w:bCs/>
        </w:rPr>
        <w:t>povodeň nebo záplava.</w:t>
      </w:r>
    </w:p>
    <w:p w:rsidR="005F2800" w:rsidRDefault="005F2800" w:rsidP="00A831ED">
      <w:pPr>
        <w:jc w:val="both"/>
        <w:rPr>
          <w:rFonts w:ascii="Arial" w:hAnsi="Arial" w:cs="Arial"/>
          <w:u w:val="single"/>
        </w:rPr>
      </w:pPr>
    </w:p>
    <w:p w:rsidR="00F25E89" w:rsidRPr="00AC717E" w:rsidRDefault="00F25E89" w:rsidP="00A831ED">
      <w:pPr>
        <w:jc w:val="both"/>
        <w:rPr>
          <w:rFonts w:ascii="Arial" w:hAnsi="Arial" w:cs="Arial"/>
        </w:rPr>
      </w:pPr>
      <w:r w:rsidRPr="003D7411">
        <w:rPr>
          <w:rFonts w:ascii="Arial" w:hAnsi="Arial" w:cs="Arial"/>
          <w:u w:val="single"/>
        </w:rPr>
        <w:t xml:space="preserve">Oblast </w:t>
      </w:r>
      <w:r w:rsidRPr="003D7411">
        <w:rPr>
          <w:rFonts w:ascii="Arial" w:hAnsi="Arial" w:cs="Arial"/>
          <w:b/>
          <w:bCs/>
          <w:u w:val="single"/>
        </w:rPr>
        <w:t>ASISTENČNÍ SLUŽBY</w:t>
      </w:r>
      <w:r>
        <w:rPr>
          <w:rFonts w:ascii="Arial" w:hAnsi="Arial" w:cs="Arial"/>
          <w:b/>
          <w:bCs/>
        </w:rPr>
        <w:t xml:space="preserve">   - </w:t>
      </w:r>
      <w:r w:rsidRPr="009F66B9">
        <w:rPr>
          <w:rFonts w:ascii="Arial" w:hAnsi="Arial" w:cs="Arial"/>
          <w:highlight w:val="lightGray"/>
        </w:rPr>
        <w:t xml:space="preserve">VPP BD 2014  část </w:t>
      </w:r>
      <w:r w:rsidRPr="00EC0E8F">
        <w:rPr>
          <w:rFonts w:ascii="Arial" w:hAnsi="Arial" w:cs="Arial"/>
          <w:highlight w:val="yellow"/>
        </w:rPr>
        <w:t>G</w:t>
      </w:r>
      <w:r w:rsidRPr="009F66B9">
        <w:rPr>
          <w:rFonts w:ascii="Arial" w:hAnsi="Arial" w:cs="Arial"/>
          <w:highlight w:val="lightGray"/>
        </w:rPr>
        <w:t>. čl. I-IV,</w:t>
      </w:r>
      <w:r>
        <w:rPr>
          <w:rFonts w:ascii="Arial" w:hAnsi="Arial" w:cs="Arial"/>
        </w:rPr>
        <w:t xml:space="preserve">  </w:t>
      </w:r>
    </w:p>
    <w:p w:rsidR="00F25E89" w:rsidRDefault="00F25E89" w:rsidP="00A831ED">
      <w:pPr>
        <w:jc w:val="both"/>
        <w:rPr>
          <w:rFonts w:ascii="Arial" w:hAnsi="Arial" w:cs="Arial"/>
        </w:rPr>
      </w:pPr>
      <w:r>
        <w:rPr>
          <w:rFonts w:ascii="Arial" w:hAnsi="Arial" w:cs="Arial"/>
        </w:rPr>
        <w:t xml:space="preserve">Mimo pojištění pojistitel poskytne pojištěnému </w:t>
      </w:r>
      <w:r w:rsidRPr="008D2DED">
        <w:rPr>
          <w:rFonts w:ascii="Arial" w:hAnsi="Arial" w:cs="Arial"/>
          <w:u w:val="single"/>
        </w:rPr>
        <w:t>asisteční služby</w:t>
      </w:r>
      <w:r>
        <w:rPr>
          <w:rFonts w:ascii="Arial" w:hAnsi="Arial" w:cs="Arial"/>
        </w:rPr>
        <w:t xml:space="preserve">  v tomto rozsahu:</w:t>
      </w:r>
    </w:p>
    <w:p w:rsidR="00F25E89" w:rsidRDefault="00F25E89" w:rsidP="00400190">
      <w:pPr>
        <w:pStyle w:val="Odstavecseseznamem"/>
        <w:numPr>
          <w:ilvl w:val="0"/>
          <w:numId w:val="8"/>
        </w:numPr>
        <w:spacing w:after="120"/>
        <w:ind w:left="425" w:hanging="425"/>
        <w:jc w:val="both"/>
        <w:rPr>
          <w:rFonts w:ascii="Arial" w:hAnsi="Arial" w:cs="Arial"/>
        </w:rPr>
      </w:pPr>
      <w:r>
        <w:rPr>
          <w:rFonts w:ascii="Arial" w:hAnsi="Arial" w:cs="Arial"/>
        </w:rPr>
        <w:t>Informační a poradenská služba (rady jak postupovat v případě vzniku škodné události (ŠÚ), pomoc při nahlášení ŠÚ pojistiteli),</w:t>
      </w:r>
    </w:p>
    <w:p w:rsidR="00F25E89" w:rsidRPr="001068C5" w:rsidRDefault="00F25E89" w:rsidP="001068C5">
      <w:pPr>
        <w:pStyle w:val="Odstavecseseznamem"/>
        <w:spacing w:after="120"/>
        <w:ind w:left="425"/>
        <w:jc w:val="both"/>
        <w:rPr>
          <w:rFonts w:ascii="Arial" w:hAnsi="Arial" w:cs="Arial"/>
          <w:sz w:val="16"/>
          <w:szCs w:val="16"/>
        </w:rPr>
      </w:pPr>
    </w:p>
    <w:p w:rsidR="00F25E89" w:rsidRDefault="00F25E89" w:rsidP="00400190">
      <w:pPr>
        <w:pStyle w:val="Odstavecseseznamem"/>
        <w:numPr>
          <w:ilvl w:val="0"/>
          <w:numId w:val="8"/>
        </w:numPr>
        <w:spacing w:after="120"/>
        <w:ind w:left="425" w:hanging="425"/>
        <w:jc w:val="both"/>
        <w:rPr>
          <w:rFonts w:ascii="Arial" w:hAnsi="Arial" w:cs="Arial"/>
        </w:rPr>
      </w:pPr>
      <w:r>
        <w:rPr>
          <w:rFonts w:ascii="Arial" w:hAnsi="Arial" w:cs="Arial"/>
        </w:rPr>
        <w:t>Odstranění příčiny havarijního stavu v rozsahu:</w:t>
      </w:r>
    </w:p>
    <w:p w:rsidR="00F25E89" w:rsidRDefault="00F25E89" w:rsidP="00400190">
      <w:pPr>
        <w:pStyle w:val="Odstavecseseznamem"/>
        <w:numPr>
          <w:ilvl w:val="0"/>
          <w:numId w:val="9"/>
        </w:numPr>
        <w:spacing w:after="120"/>
        <w:jc w:val="both"/>
        <w:rPr>
          <w:rFonts w:ascii="Arial" w:hAnsi="Arial" w:cs="Arial"/>
        </w:rPr>
      </w:pPr>
      <w:r>
        <w:rPr>
          <w:rFonts w:ascii="Arial" w:hAnsi="Arial" w:cs="Arial"/>
        </w:rPr>
        <w:t>Organizace a úhrada nákladů příjezdu a odjezdu technické pohotovostní služby (TPS) do a z místa vzniku havarijního stavu,</w:t>
      </w:r>
    </w:p>
    <w:p w:rsidR="00F25E89" w:rsidRPr="001068C5" w:rsidRDefault="00F25E89" w:rsidP="001068C5">
      <w:pPr>
        <w:pStyle w:val="Odstavecseseznamem"/>
        <w:spacing w:after="120"/>
        <w:jc w:val="both"/>
        <w:rPr>
          <w:rFonts w:ascii="Arial" w:hAnsi="Arial" w:cs="Arial"/>
          <w:sz w:val="16"/>
          <w:szCs w:val="16"/>
        </w:rPr>
      </w:pPr>
    </w:p>
    <w:p w:rsidR="00F25E89" w:rsidRDefault="00F25E89" w:rsidP="00400190">
      <w:pPr>
        <w:pStyle w:val="Odstavecseseznamem"/>
        <w:numPr>
          <w:ilvl w:val="0"/>
          <w:numId w:val="9"/>
        </w:numPr>
        <w:spacing w:after="120"/>
        <w:jc w:val="both"/>
        <w:rPr>
          <w:rFonts w:ascii="Arial" w:hAnsi="Arial" w:cs="Arial"/>
        </w:rPr>
      </w:pPr>
      <w:r>
        <w:rPr>
          <w:rFonts w:ascii="Arial" w:hAnsi="Arial" w:cs="Arial"/>
        </w:rPr>
        <w:t>Úhrada nákladů na práci TPS a použitý materiál do výše těchto limitů:</w:t>
      </w:r>
    </w:p>
    <w:p w:rsidR="00F25E89" w:rsidRPr="001D25A5" w:rsidRDefault="00F25E89" w:rsidP="001068C5">
      <w:pPr>
        <w:pStyle w:val="Odstavecseseznamem"/>
        <w:numPr>
          <w:ilvl w:val="0"/>
          <w:numId w:val="8"/>
        </w:numPr>
        <w:spacing w:after="120" w:line="240" w:lineRule="auto"/>
        <w:ind w:left="1077" w:hanging="357"/>
        <w:jc w:val="both"/>
        <w:rPr>
          <w:rFonts w:ascii="Arial" w:hAnsi="Arial" w:cs="Arial"/>
        </w:rPr>
      </w:pPr>
      <w:r>
        <w:rPr>
          <w:rFonts w:ascii="Arial" w:hAnsi="Arial" w:cs="Arial"/>
        </w:rPr>
        <w:t xml:space="preserve">Max. počet asistenčních zásahů s úhradou nákladů pojistitelem je 5 zásahů pro </w:t>
      </w:r>
      <w:r w:rsidRPr="001D25A5">
        <w:rPr>
          <w:rFonts w:ascii="Arial" w:hAnsi="Arial" w:cs="Arial"/>
          <w:i/>
          <w:iCs/>
          <w:u w:val="single"/>
        </w:rPr>
        <w:t>společné části bytového</w:t>
      </w:r>
      <w:r>
        <w:rPr>
          <w:rFonts w:ascii="Arial" w:hAnsi="Arial" w:cs="Arial"/>
        </w:rPr>
        <w:t xml:space="preserve"> domu s limitem nákladů 7 000 Kč na jeden každý zásah.</w:t>
      </w:r>
    </w:p>
    <w:p w:rsidR="00F25E89" w:rsidRPr="001D25A5" w:rsidRDefault="00F25E89" w:rsidP="001068C5">
      <w:pPr>
        <w:pStyle w:val="Odstavecseseznamem"/>
        <w:numPr>
          <w:ilvl w:val="0"/>
          <w:numId w:val="8"/>
        </w:numPr>
        <w:spacing w:after="120" w:line="240" w:lineRule="auto"/>
        <w:ind w:left="1077" w:hanging="357"/>
        <w:jc w:val="both"/>
        <w:rPr>
          <w:rFonts w:ascii="Arial" w:hAnsi="Arial" w:cs="Arial"/>
        </w:rPr>
      </w:pPr>
      <w:r>
        <w:rPr>
          <w:rFonts w:ascii="Arial" w:hAnsi="Arial" w:cs="Arial"/>
        </w:rPr>
        <w:lastRenderedPageBreak/>
        <w:t xml:space="preserve">1 zásah pro </w:t>
      </w:r>
      <w:r w:rsidRPr="001D25A5">
        <w:rPr>
          <w:rFonts w:ascii="Arial" w:hAnsi="Arial" w:cs="Arial"/>
          <w:i/>
          <w:iCs/>
          <w:u w:val="single"/>
        </w:rPr>
        <w:t>každý byt v bytovém domě</w:t>
      </w:r>
      <w:r>
        <w:rPr>
          <w:rFonts w:ascii="Arial" w:hAnsi="Arial" w:cs="Arial"/>
        </w:rPr>
        <w:t xml:space="preserve"> s limitem nákladů 2 000 Kč za byt, za každý 1 rok trvání účinnosti pojistné smlouvy.</w:t>
      </w:r>
    </w:p>
    <w:p w:rsidR="00F25E89" w:rsidRDefault="00F25E89" w:rsidP="001068C5">
      <w:pPr>
        <w:pStyle w:val="Odstavecseseznamem"/>
        <w:numPr>
          <w:ilvl w:val="0"/>
          <w:numId w:val="8"/>
        </w:numPr>
        <w:spacing w:after="120" w:line="240" w:lineRule="auto"/>
        <w:ind w:left="1077" w:hanging="357"/>
        <w:jc w:val="both"/>
        <w:rPr>
          <w:rFonts w:ascii="Arial" w:hAnsi="Arial" w:cs="Arial"/>
        </w:rPr>
      </w:pPr>
      <w:r>
        <w:rPr>
          <w:rFonts w:ascii="Arial" w:hAnsi="Arial" w:cs="Arial"/>
        </w:rPr>
        <w:t>Náklady převyšující uvedené limity hradí pojištěný. TPS je zabezpečena profesemi: instalatér, elektrikář, sklenář, topenář (plynař), zámečník, pokrývač.</w:t>
      </w:r>
    </w:p>
    <w:p w:rsidR="00F25E89" w:rsidRDefault="00F25E89" w:rsidP="001D25A5">
      <w:pPr>
        <w:pStyle w:val="Odstavecseseznamem"/>
        <w:rPr>
          <w:rFonts w:ascii="Arial" w:hAnsi="Arial" w:cs="Arial"/>
        </w:rPr>
      </w:pPr>
    </w:p>
    <w:p w:rsidR="00F25E89" w:rsidRDefault="00F25E89" w:rsidP="007F5F66">
      <w:pPr>
        <w:pStyle w:val="Odstavecseseznamem"/>
        <w:ind w:left="0"/>
        <w:jc w:val="both"/>
        <w:rPr>
          <w:rFonts w:ascii="Arial" w:hAnsi="Arial" w:cs="Arial"/>
        </w:rPr>
      </w:pPr>
      <w:r>
        <w:rPr>
          <w:rFonts w:ascii="Arial" w:hAnsi="Arial" w:cs="Arial"/>
        </w:rPr>
        <w:t xml:space="preserve">V souvislosti s řešením </w:t>
      </w:r>
      <w:r w:rsidRPr="007F5F66">
        <w:rPr>
          <w:rFonts w:ascii="Arial" w:hAnsi="Arial" w:cs="Arial"/>
        </w:rPr>
        <w:t>ASISTENČNÍ SLUŽBY</w:t>
      </w:r>
      <w:r>
        <w:rPr>
          <w:rFonts w:ascii="Arial" w:hAnsi="Arial" w:cs="Arial"/>
          <w:b/>
          <w:bCs/>
        </w:rPr>
        <w:t xml:space="preserve"> </w:t>
      </w:r>
      <w:r>
        <w:rPr>
          <w:rFonts w:ascii="Arial" w:hAnsi="Arial" w:cs="Arial"/>
        </w:rPr>
        <w:t xml:space="preserve">je nutné pro dokreslení této oblasti uvést, že naše družstvo má také uzavřenou </w:t>
      </w:r>
      <w:r w:rsidRPr="00393BDB">
        <w:rPr>
          <w:rFonts w:ascii="Arial" w:hAnsi="Arial" w:cs="Arial"/>
          <w:i/>
          <w:iCs/>
          <w:highlight w:val="yellow"/>
          <w:u w:val="single"/>
        </w:rPr>
        <w:t>Smlouvu o dílo od 1.12.2009 s firmou BYTOSERVIS-NON</w:t>
      </w:r>
      <w:r w:rsidRPr="0033755E">
        <w:rPr>
          <w:rFonts w:ascii="Arial" w:hAnsi="Arial" w:cs="Arial"/>
          <w:u w:val="single"/>
        </w:rPr>
        <w:t xml:space="preserve"> STOP na dobu neurčitou</w:t>
      </w:r>
      <w:r>
        <w:rPr>
          <w:rFonts w:ascii="Arial" w:hAnsi="Arial" w:cs="Arial"/>
        </w:rPr>
        <w:t>. Předmětem této smlouvy je závazek zhotovitele (tj. BYTOSERVIS) odstranit veškeré havarijní situace na bytovém a domovním fondu našeho družstva vlastními prostředky, popř. zajistit jejich odstranění v součinnosti s jinými organizacemi (především správci inž. sítí aj.).</w:t>
      </w:r>
    </w:p>
    <w:p w:rsidR="00F25E89" w:rsidRDefault="00F25E89" w:rsidP="007F5F66">
      <w:pPr>
        <w:pStyle w:val="Odstavecseseznamem"/>
        <w:ind w:left="0"/>
        <w:jc w:val="both"/>
        <w:rPr>
          <w:rFonts w:ascii="Arial" w:hAnsi="Arial" w:cs="Arial"/>
        </w:rPr>
      </w:pPr>
      <w:r>
        <w:rPr>
          <w:rFonts w:ascii="Arial" w:hAnsi="Arial" w:cs="Arial"/>
        </w:rPr>
        <w:t>Havarijní situace jsou ve smlouvě o dílo specifikovány takto:</w:t>
      </w:r>
    </w:p>
    <w:p w:rsidR="00F25E89" w:rsidRDefault="00F25E89" w:rsidP="00D5337F">
      <w:pPr>
        <w:pStyle w:val="Odstavecseseznamem"/>
        <w:numPr>
          <w:ilvl w:val="0"/>
          <w:numId w:val="8"/>
        </w:numPr>
        <w:spacing w:after="120" w:line="240" w:lineRule="auto"/>
        <w:ind w:left="1077" w:hanging="357"/>
        <w:jc w:val="both"/>
        <w:rPr>
          <w:rFonts w:ascii="Arial" w:hAnsi="Arial" w:cs="Arial"/>
        </w:rPr>
      </w:pPr>
      <w:r>
        <w:rPr>
          <w:rFonts w:ascii="Arial" w:hAnsi="Arial" w:cs="Arial"/>
        </w:rPr>
        <w:t>prasklé vodovodní stoupačky vč. rozvodů v bytech a společných prostorách domu</w:t>
      </w:r>
    </w:p>
    <w:p w:rsidR="00F25E89" w:rsidRDefault="00F25E89" w:rsidP="00D5337F">
      <w:pPr>
        <w:pStyle w:val="Odstavecseseznamem"/>
        <w:numPr>
          <w:ilvl w:val="0"/>
          <w:numId w:val="8"/>
        </w:numPr>
        <w:spacing w:after="120" w:line="240" w:lineRule="auto"/>
        <w:ind w:left="1077" w:hanging="357"/>
        <w:jc w:val="both"/>
        <w:rPr>
          <w:rFonts w:ascii="Arial" w:hAnsi="Arial" w:cs="Arial"/>
        </w:rPr>
      </w:pPr>
      <w:r>
        <w:rPr>
          <w:rFonts w:ascii="Arial" w:hAnsi="Arial" w:cs="Arial"/>
        </w:rPr>
        <w:t xml:space="preserve">prasklé rozvody </w:t>
      </w:r>
      <w:r w:rsidRPr="00ED36F0">
        <w:rPr>
          <w:rFonts w:ascii="Arial" w:hAnsi="Arial" w:cs="Arial"/>
        </w:rPr>
        <w:t>ústředního vytápění v domech</w:t>
      </w:r>
      <w:r>
        <w:rPr>
          <w:rFonts w:ascii="Arial" w:hAnsi="Arial" w:cs="Arial"/>
        </w:rPr>
        <w:t xml:space="preserve"> a bytech </w:t>
      </w:r>
      <w:r w:rsidRPr="007F5F66">
        <w:rPr>
          <w:rFonts w:ascii="Arial" w:hAnsi="Arial" w:cs="Arial"/>
        </w:rPr>
        <w:t xml:space="preserve"> </w:t>
      </w:r>
    </w:p>
    <w:p w:rsidR="00F25E89" w:rsidRDefault="00F25E89" w:rsidP="00D5337F">
      <w:pPr>
        <w:pStyle w:val="Odstavecseseznamem"/>
        <w:numPr>
          <w:ilvl w:val="0"/>
          <w:numId w:val="8"/>
        </w:numPr>
        <w:spacing w:after="120" w:line="240" w:lineRule="auto"/>
        <w:ind w:left="1077" w:hanging="357"/>
        <w:jc w:val="both"/>
        <w:rPr>
          <w:rFonts w:ascii="Arial" w:hAnsi="Arial" w:cs="Arial"/>
        </w:rPr>
      </w:pPr>
      <w:r>
        <w:rPr>
          <w:rFonts w:ascii="Arial" w:hAnsi="Arial" w:cs="Arial"/>
        </w:rPr>
        <w:t>ucpané ležaté kanalizační potrubí, odpadní stoupačky</w:t>
      </w:r>
    </w:p>
    <w:p w:rsidR="00F25E89" w:rsidRDefault="00F25E89" w:rsidP="00D5337F">
      <w:pPr>
        <w:pStyle w:val="Odstavecseseznamem"/>
        <w:numPr>
          <w:ilvl w:val="0"/>
          <w:numId w:val="8"/>
        </w:numPr>
        <w:spacing w:after="120" w:line="240" w:lineRule="auto"/>
        <w:ind w:left="1077" w:hanging="357"/>
        <w:jc w:val="both"/>
        <w:rPr>
          <w:rFonts w:ascii="Arial" w:hAnsi="Arial" w:cs="Arial"/>
        </w:rPr>
      </w:pPr>
      <w:r>
        <w:rPr>
          <w:rFonts w:ascii="Arial" w:hAnsi="Arial" w:cs="Arial"/>
        </w:rPr>
        <w:t>přerušení dodávky el. energie do objektu a v objektu</w:t>
      </w:r>
    </w:p>
    <w:p w:rsidR="00F25E89" w:rsidRDefault="00F25E89" w:rsidP="00D5337F">
      <w:pPr>
        <w:pStyle w:val="Odstavecseseznamem"/>
        <w:numPr>
          <w:ilvl w:val="0"/>
          <w:numId w:val="8"/>
        </w:numPr>
        <w:spacing w:after="120" w:line="240" w:lineRule="auto"/>
        <w:ind w:left="1077" w:hanging="357"/>
        <w:jc w:val="both"/>
        <w:rPr>
          <w:rFonts w:ascii="Arial" w:hAnsi="Arial" w:cs="Arial"/>
        </w:rPr>
      </w:pPr>
      <w:r>
        <w:rPr>
          <w:rFonts w:ascii="Arial" w:hAnsi="Arial" w:cs="Arial"/>
        </w:rPr>
        <w:t>únik plynu v objektu a bytech</w:t>
      </w:r>
    </w:p>
    <w:p w:rsidR="00F25E89" w:rsidRDefault="00F25E89" w:rsidP="007E3F55">
      <w:pPr>
        <w:rPr>
          <w:rFonts w:ascii="Arial" w:hAnsi="Arial" w:cs="Arial"/>
        </w:rPr>
      </w:pPr>
      <w:r>
        <w:rPr>
          <w:rFonts w:ascii="Arial" w:hAnsi="Arial" w:cs="Arial"/>
        </w:rPr>
        <w:t>Zhotovitel se zavazuje, že:</w:t>
      </w:r>
    </w:p>
    <w:p w:rsidR="00F25E89" w:rsidRPr="00136FCC" w:rsidRDefault="00F25E89" w:rsidP="00136FCC">
      <w:pPr>
        <w:pStyle w:val="Odstavecseseznamem"/>
        <w:numPr>
          <w:ilvl w:val="0"/>
          <w:numId w:val="14"/>
        </w:numPr>
        <w:spacing w:after="120" w:line="240" w:lineRule="auto"/>
        <w:ind w:left="714" w:hanging="357"/>
        <w:jc w:val="both"/>
        <w:rPr>
          <w:rFonts w:ascii="Arial" w:hAnsi="Arial" w:cs="Arial"/>
        </w:rPr>
      </w:pPr>
      <w:r>
        <w:rPr>
          <w:rFonts w:ascii="Arial" w:hAnsi="Arial" w:cs="Arial"/>
        </w:rPr>
        <w:t>Práce  h a v a r i j n í h o charakteru bude zajišťovat NON-STOP tj. 24 hodin denně, během celého roku včetně dnů pracovního volna, klidu a svátků na základě telefonického objednání kteréhokoliv vlastníka bytové jednotky a to s příjezdem na místo havárie:</w:t>
      </w:r>
    </w:p>
    <w:p w:rsidR="00F25E89" w:rsidRDefault="00F25E89" w:rsidP="00E12A0C">
      <w:pPr>
        <w:pStyle w:val="Odstavecseseznamem"/>
        <w:spacing w:after="120" w:line="240" w:lineRule="auto"/>
        <w:ind w:left="900" w:hanging="180"/>
        <w:jc w:val="both"/>
        <w:rPr>
          <w:rFonts w:ascii="Arial" w:hAnsi="Arial" w:cs="Arial"/>
          <w:sz w:val="8"/>
          <w:szCs w:val="8"/>
        </w:rPr>
      </w:pPr>
      <w:r>
        <w:rPr>
          <w:rFonts w:ascii="Arial" w:hAnsi="Arial" w:cs="Arial"/>
        </w:rPr>
        <w:t>- v co nejkratším možném termínu, nejpozději však v průběhu téhož dne, kdy byla havárie nahlášena a pokud se jedná o havárii, kdy nehrozí bezprostřední ohrožení zdraví či majetku</w:t>
      </w:r>
    </w:p>
    <w:p w:rsidR="00F25E89" w:rsidRDefault="00F25E89" w:rsidP="00E12A0C">
      <w:pPr>
        <w:pStyle w:val="Odstavecseseznamem"/>
        <w:spacing w:after="120" w:line="240" w:lineRule="auto"/>
        <w:ind w:left="900" w:hanging="180"/>
        <w:jc w:val="both"/>
        <w:rPr>
          <w:rFonts w:ascii="Arial" w:hAnsi="Arial" w:cs="Arial"/>
          <w:sz w:val="8"/>
          <w:szCs w:val="8"/>
        </w:rPr>
      </w:pPr>
      <w:r>
        <w:rPr>
          <w:rFonts w:ascii="Arial" w:hAnsi="Arial" w:cs="Arial"/>
        </w:rPr>
        <w:t>- v termínu dohodnutém, opět pokud se jedná o havárii, kdy nehrozí bezprostřední ohrožení</w:t>
      </w:r>
    </w:p>
    <w:p w:rsidR="00F25E89" w:rsidRDefault="00F25E89" w:rsidP="00E12A0C">
      <w:pPr>
        <w:pStyle w:val="Odstavecseseznamem"/>
        <w:spacing w:after="120" w:line="240" w:lineRule="auto"/>
        <w:ind w:left="900" w:hanging="180"/>
        <w:jc w:val="both"/>
        <w:rPr>
          <w:rFonts w:ascii="Arial" w:hAnsi="Arial" w:cs="Arial"/>
        </w:rPr>
      </w:pPr>
      <w:r>
        <w:rPr>
          <w:rFonts w:ascii="Arial" w:hAnsi="Arial" w:cs="Arial"/>
        </w:rPr>
        <w:t>- zajištění a oprava havarijních situací především v oblasti elektroinstalační, instalatérské a topenářské. Nahlášené havárie budou odstraňovány pokud možno ihned v plné  rozsahu.</w:t>
      </w:r>
    </w:p>
    <w:p w:rsidR="00F25E89" w:rsidRDefault="00F25E89" w:rsidP="00091D8C">
      <w:pPr>
        <w:pStyle w:val="Odstavecseseznamem"/>
        <w:numPr>
          <w:ilvl w:val="0"/>
          <w:numId w:val="14"/>
        </w:numPr>
        <w:tabs>
          <w:tab w:val="left" w:pos="709"/>
        </w:tabs>
        <w:ind w:left="709" w:hanging="283"/>
        <w:jc w:val="both"/>
        <w:rPr>
          <w:rFonts w:ascii="Arial" w:hAnsi="Arial" w:cs="Arial"/>
        </w:rPr>
      </w:pPr>
      <w:r w:rsidRPr="00136FCC">
        <w:rPr>
          <w:rFonts w:ascii="Arial" w:hAnsi="Arial" w:cs="Arial"/>
        </w:rPr>
        <w:t xml:space="preserve"> Při havárii většího rozsahu se zhotovitel zavazuje zabezpečit</w:t>
      </w:r>
      <w:r>
        <w:rPr>
          <w:rFonts w:ascii="Arial" w:hAnsi="Arial" w:cs="Arial"/>
        </w:rPr>
        <w:t xml:space="preserve"> </w:t>
      </w:r>
      <w:r w:rsidRPr="00136FCC">
        <w:rPr>
          <w:rFonts w:ascii="Arial" w:hAnsi="Arial" w:cs="Arial"/>
        </w:rPr>
        <w:t xml:space="preserve">havarijní situaci tak, aby nevznikly škody na majetku družstva </w:t>
      </w:r>
      <w:r>
        <w:rPr>
          <w:rFonts w:ascii="Arial" w:hAnsi="Arial" w:cs="Arial"/>
        </w:rPr>
        <w:t>a vlastníků bytových jednotek a odstranit tyto havárie v průběhu následujících pracovní dní.</w:t>
      </w:r>
    </w:p>
    <w:p w:rsidR="00F25E89" w:rsidRPr="00136FCC" w:rsidRDefault="00F25E89" w:rsidP="0033755E">
      <w:pPr>
        <w:pStyle w:val="Odstavecseseznamem"/>
        <w:numPr>
          <w:ilvl w:val="0"/>
          <w:numId w:val="14"/>
        </w:numPr>
        <w:tabs>
          <w:tab w:val="left" w:pos="709"/>
        </w:tabs>
        <w:ind w:left="709" w:hanging="283"/>
        <w:jc w:val="both"/>
        <w:rPr>
          <w:rFonts w:ascii="Arial" w:hAnsi="Arial" w:cs="Arial"/>
        </w:rPr>
      </w:pPr>
      <w:r>
        <w:rPr>
          <w:rFonts w:ascii="Arial" w:hAnsi="Arial" w:cs="Arial"/>
        </w:rPr>
        <w:t>Práce provedené nad rámec specifikace havárií bude Bytoservis účtovat dle skutečných naběhlých nákladů (např. PRE, PKVT apod.)</w:t>
      </w:r>
    </w:p>
    <w:p w:rsidR="00F25E89" w:rsidRPr="007E3F55" w:rsidRDefault="00F25E89" w:rsidP="0033755E">
      <w:pPr>
        <w:jc w:val="both"/>
        <w:rPr>
          <w:rFonts w:ascii="Arial" w:hAnsi="Arial" w:cs="Arial"/>
        </w:rPr>
      </w:pPr>
      <w:r>
        <w:rPr>
          <w:rFonts w:ascii="Arial" w:hAnsi="Arial" w:cs="Arial"/>
        </w:rPr>
        <w:t xml:space="preserve">Pro úplnost je nutno uvést i uplatňování vládního nařízení č. 258/1995 Sb., - drobné úpravy v bytech. Zhotovitel se zavazuje dbát, aby práce dle uvedeného vládního nařízení byly hrazeny přímo na místě vlastníky bytů. Jde zejména o práce: opravy-výměny sifonů, vodovodních baterií, splachovacích zařízení, elektro automatů-jističů, elektro zásuvek a vypínačů, a čištění kanalizačních odboček z bytů ke stoupačkám. </w:t>
      </w:r>
    </w:p>
    <w:p w:rsidR="00F25E89" w:rsidRPr="00503EB6" w:rsidRDefault="00F25E89" w:rsidP="00DA61F6">
      <w:pPr>
        <w:jc w:val="both"/>
        <w:rPr>
          <w:rFonts w:ascii="Arial" w:hAnsi="Arial" w:cs="Arial"/>
        </w:rPr>
      </w:pPr>
      <w:r>
        <w:rPr>
          <w:rFonts w:ascii="Arial" w:hAnsi="Arial" w:cs="Arial"/>
        </w:rPr>
        <w:lastRenderedPageBreak/>
        <w:t xml:space="preserve">Stávající Smlouva o dílo, byla upřesněna jedním doplňkem uzavřeným dne 5.12.2012 s účinností od 1.1.2013, jehož obsahem byla úprava čl. 4 – Dohoda o ceně, s tím že Dopravní náklady na jeden výjezd jednoho vozidla pro oblast Prahy se zvýšil z 250 Kč, na 350 Kč bez DPH. V loňském roce družstvo uhradilo Bytoservisu částku </w:t>
      </w:r>
      <w:r w:rsidRPr="00543B62">
        <w:rPr>
          <w:rFonts w:ascii="Arial" w:hAnsi="Arial" w:cs="Arial"/>
          <w:b/>
          <w:bCs/>
        </w:rPr>
        <w:t>4 291 Kč</w:t>
      </w:r>
      <w:r>
        <w:rPr>
          <w:rFonts w:ascii="Arial" w:hAnsi="Arial" w:cs="Arial"/>
          <w:b/>
          <w:bCs/>
        </w:rPr>
        <w:t>.</w:t>
      </w:r>
    </w:p>
    <w:p w:rsidR="00F25E89" w:rsidRDefault="00F25E89" w:rsidP="00874E59">
      <w:pPr>
        <w:pStyle w:val="Odstavecseseznamem"/>
        <w:ind w:left="0"/>
        <w:rPr>
          <w:rFonts w:ascii="Arial" w:hAnsi="Arial" w:cs="Arial"/>
          <w:i/>
          <w:iCs/>
          <w:color w:val="31849B"/>
        </w:rPr>
      </w:pPr>
      <w:r w:rsidRPr="00874E59">
        <w:rPr>
          <w:rFonts w:ascii="Arial" w:hAnsi="Arial" w:cs="Arial"/>
          <w:b/>
          <w:bCs/>
          <w:u w:val="single"/>
        </w:rPr>
        <w:t>Závěr:</w:t>
      </w:r>
      <w:r w:rsidRPr="008F5AFF">
        <w:rPr>
          <w:rFonts w:ascii="Arial" w:hAnsi="Arial" w:cs="Arial"/>
          <w:b/>
          <w:bCs/>
        </w:rPr>
        <w:t xml:space="preserve">            </w:t>
      </w:r>
      <w:r>
        <w:rPr>
          <w:rFonts w:ascii="Arial" w:hAnsi="Arial" w:cs="Arial"/>
          <w:i/>
          <w:iCs/>
          <w:color w:val="31849B"/>
        </w:rPr>
        <w:t xml:space="preserve"> </w:t>
      </w:r>
    </w:p>
    <w:p w:rsidR="00F25E89" w:rsidRDefault="00F25E89" w:rsidP="001D790C">
      <w:pPr>
        <w:pStyle w:val="Odstavecseseznamem"/>
        <w:numPr>
          <w:ilvl w:val="0"/>
          <w:numId w:val="13"/>
        </w:numPr>
        <w:ind w:left="360"/>
        <w:jc w:val="both"/>
        <w:rPr>
          <w:rFonts w:ascii="Arial" w:hAnsi="Arial" w:cs="Arial"/>
        </w:rPr>
      </w:pPr>
      <w:r w:rsidRPr="00874E59">
        <w:rPr>
          <w:rFonts w:ascii="Arial" w:hAnsi="Arial" w:cs="Arial"/>
        </w:rPr>
        <w:t xml:space="preserve">Nově </w:t>
      </w:r>
      <w:r>
        <w:rPr>
          <w:rFonts w:ascii="Arial" w:hAnsi="Arial" w:cs="Arial"/>
        </w:rPr>
        <w:t>uzavřená „Pojistná smlouva“ je z hlediska výše pojistného /</w:t>
      </w:r>
      <w:r w:rsidRPr="008F5AFF">
        <w:rPr>
          <w:rFonts w:ascii="Arial" w:hAnsi="Arial" w:cs="Arial"/>
          <w:i/>
          <w:iCs/>
        </w:rPr>
        <w:t>17 983 Kč</w:t>
      </w:r>
      <w:r>
        <w:rPr>
          <w:rFonts w:ascii="Arial" w:hAnsi="Arial" w:cs="Arial"/>
        </w:rPr>
        <w:t xml:space="preserve">/ výhodnější než smlouva předchozí /20 426 Kč/, která byla cca o </w:t>
      </w:r>
      <w:r w:rsidRPr="00FE12B2">
        <w:rPr>
          <w:rFonts w:ascii="Arial" w:hAnsi="Arial" w:cs="Arial"/>
          <w:u w:val="single"/>
        </w:rPr>
        <w:t>2 450</w:t>
      </w:r>
      <w:r w:rsidRPr="00BF4AD3">
        <w:rPr>
          <w:rFonts w:ascii="Arial" w:hAnsi="Arial" w:cs="Arial"/>
        </w:rPr>
        <w:t xml:space="preserve"> Kč</w:t>
      </w:r>
      <w:r>
        <w:rPr>
          <w:rFonts w:ascii="Arial" w:hAnsi="Arial" w:cs="Arial"/>
        </w:rPr>
        <w:t xml:space="preserve"> vyšší. V této souvislosti lze diskutovat zda některá pojistná nebezpečí bylo nutné do nové smlouvy zahrnovat např. zemětřesení, zřícení skal, zemin nebo lavina apod., (představenstvem bylo objasněno, že se jedná o souhrnné balíčky). </w:t>
      </w:r>
    </w:p>
    <w:p w:rsidR="00F25E89" w:rsidRPr="007E0BF6" w:rsidRDefault="00F25E89" w:rsidP="001D790C">
      <w:pPr>
        <w:pStyle w:val="Odstavecseseznamem"/>
        <w:ind w:left="360" w:hanging="360"/>
        <w:jc w:val="both"/>
        <w:rPr>
          <w:rFonts w:ascii="Arial" w:hAnsi="Arial" w:cs="Arial"/>
        </w:rPr>
      </w:pPr>
      <w:r>
        <w:rPr>
          <w:rFonts w:ascii="Arial" w:hAnsi="Arial" w:cs="Arial"/>
        </w:rPr>
        <w:t>2.</w:t>
      </w:r>
      <w:r>
        <w:rPr>
          <w:rFonts w:ascii="Arial" w:hAnsi="Arial" w:cs="Arial"/>
          <w:color w:val="31849B"/>
        </w:rPr>
        <w:t xml:space="preserve">   </w:t>
      </w:r>
      <w:r w:rsidRPr="007E0BF6">
        <w:rPr>
          <w:rFonts w:ascii="Arial" w:hAnsi="Arial" w:cs="Arial"/>
        </w:rPr>
        <w:t xml:space="preserve">PS se vztahuje na dům, tzn. obal (fasáda, okna, společné prostory apod.), ale neplatí pro škodní události uvnitř bytů (mimo zmíněné havárie). Z tohoto důvodu by všichni měli mít uzavřeno pojištění domácnosti včetně pojištění za škody způsobené druhému </w:t>
      </w:r>
      <w:r>
        <w:rPr>
          <w:rFonts w:ascii="Arial" w:hAnsi="Arial" w:cs="Arial"/>
        </w:rPr>
        <w:t>např.</w:t>
      </w:r>
      <w:r w:rsidRPr="007E0BF6">
        <w:rPr>
          <w:rFonts w:ascii="Arial" w:hAnsi="Arial" w:cs="Arial"/>
        </w:rPr>
        <w:t xml:space="preserve"> vytopení sousedů apod. Poškozená domácnost by musela způsobené škody na viníkovi, který není pojištěn a nedomluví si náhradu, vymáhat až soudní cestou.</w:t>
      </w:r>
    </w:p>
    <w:p w:rsidR="00C16204" w:rsidRPr="00C16204" w:rsidRDefault="00F25E89" w:rsidP="00C237A4">
      <w:pPr>
        <w:pStyle w:val="Odstavecseseznamem"/>
        <w:spacing w:line="240" w:lineRule="auto"/>
        <w:ind w:left="357" w:hanging="357"/>
        <w:jc w:val="both"/>
        <w:rPr>
          <w:rFonts w:ascii="Arial" w:hAnsi="Arial" w:cs="Arial"/>
          <w:color w:val="31849B"/>
        </w:rPr>
      </w:pPr>
      <w:r>
        <w:rPr>
          <w:rFonts w:ascii="Arial" w:hAnsi="Arial" w:cs="Arial"/>
        </w:rPr>
        <w:t>3</w:t>
      </w:r>
      <w:r w:rsidR="00C237A4">
        <w:rPr>
          <w:rFonts w:ascii="Arial" w:hAnsi="Arial" w:cs="Arial"/>
        </w:rPr>
        <w:t>.</w:t>
      </w:r>
      <w:r w:rsidR="00C237A4">
        <w:rPr>
          <w:rFonts w:ascii="Arial" w:hAnsi="Arial" w:cs="Arial"/>
        </w:rPr>
        <w:tab/>
      </w:r>
      <w:r w:rsidR="005F2800" w:rsidRPr="00C16204">
        <w:rPr>
          <w:rFonts w:ascii="Arial" w:hAnsi="Arial" w:cs="Arial"/>
          <w:b/>
          <w:iCs/>
        </w:rPr>
        <w:t xml:space="preserve">Výtah </w:t>
      </w:r>
      <w:r w:rsidR="005F2800" w:rsidRPr="00C16204">
        <w:rPr>
          <w:rFonts w:ascii="Arial" w:hAnsi="Arial" w:cs="Arial"/>
          <w:iCs/>
        </w:rPr>
        <w:t xml:space="preserve">je pojištěn v souladu </w:t>
      </w:r>
      <w:r w:rsidR="005F2800" w:rsidRPr="00C16204">
        <w:rPr>
          <w:rFonts w:ascii="Arial" w:hAnsi="Arial" w:cs="Arial"/>
        </w:rPr>
        <w:t>VPP BD 2014  část D. čl.</w:t>
      </w:r>
      <w:r w:rsidR="007E65F5" w:rsidRPr="00C16204">
        <w:rPr>
          <w:rFonts w:ascii="Arial" w:hAnsi="Arial" w:cs="Arial"/>
        </w:rPr>
        <w:t xml:space="preserve"> I až čl. IV</w:t>
      </w:r>
      <w:r w:rsidR="005F2800" w:rsidRPr="00C16204">
        <w:rPr>
          <w:rFonts w:ascii="Arial" w:hAnsi="Arial" w:cs="Arial"/>
          <w:iCs/>
        </w:rPr>
        <w:t xml:space="preserve"> </w:t>
      </w:r>
      <w:r w:rsidR="005F2800" w:rsidRPr="00C16204">
        <w:rPr>
          <w:rFonts w:ascii="Arial" w:hAnsi="Arial" w:cs="Arial"/>
        </w:rPr>
        <w:t>Pojištění zkratu a přepětí</w:t>
      </w:r>
      <w:r w:rsidR="007E65F5" w:rsidRPr="00C16204">
        <w:rPr>
          <w:rFonts w:ascii="Arial" w:hAnsi="Arial" w:cs="Arial"/>
        </w:rPr>
        <w:t xml:space="preserve"> a současně je pojištěn proti vandalismu.</w:t>
      </w:r>
    </w:p>
    <w:p w:rsidR="00F25E89" w:rsidRPr="00C16204" w:rsidRDefault="007E65F5" w:rsidP="00C16204">
      <w:pPr>
        <w:pStyle w:val="Odstavecseseznamem"/>
        <w:numPr>
          <w:ilvl w:val="0"/>
          <w:numId w:val="2"/>
        </w:numPr>
        <w:ind w:left="426" w:hanging="426"/>
        <w:jc w:val="both"/>
        <w:rPr>
          <w:rFonts w:ascii="Arial" w:hAnsi="Arial" w:cs="Arial"/>
          <w:color w:val="31849B"/>
        </w:rPr>
      </w:pPr>
      <w:r w:rsidRPr="00C16204">
        <w:rPr>
          <w:rFonts w:ascii="Arial" w:hAnsi="Arial" w:cs="Arial"/>
          <w:b/>
        </w:rPr>
        <w:t>Tepelné čerpadlo</w:t>
      </w:r>
      <w:r w:rsidR="00F25E89" w:rsidRPr="00C16204">
        <w:rPr>
          <w:rFonts w:ascii="Arial" w:hAnsi="Arial" w:cs="Arial"/>
          <w:i/>
          <w:iCs/>
        </w:rPr>
        <w:t xml:space="preserve"> </w:t>
      </w:r>
      <w:r w:rsidRPr="00C16204">
        <w:rPr>
          <w:rFonts w:ascii="Arial" w:hAnsi="Arial" w:cs="Arial"/>
          <w:iCs/>
        </w:rPr>
        <w:t>je v současné době v záruce proto obdobné pojištění není nezbytné. Po záruce je pak možno připojistit např. na 200 000 Kč se spoluúčastí 3 000 Kč za roční částku 3 300 Kč. V současné době je pojištěno proti vandalismu.</w:t>
      </w:r>
    </w:p>
    <w:p w:rsidR="007E65F5" w:rsidRDefault="007E65F5" w:rsidP="00462E26">
      <w:pPr>
        <w:pStyle w:val="Odstavecseseznamem"/>
        <w:ind w:left="426" w:hanging="426"/>
        <w:jc w:val="both"/>
        <w:rPr>
          <w:rFonts w:ascii="Arial" w:hAnsi="Arial" w:cs="Arial"/>
          <w:b/>
          <w:bCs/>
          <w:u w:val="single"/>
        </w:rPr>
      </w:pPr>
    </w:p>
    <w:p w:rsidR="00F25E89" w:rsidRPr="00462E26" w:rsidRDefault="00F25E89" w:rsidP="00462E26">
      <w:pPr>
        <w:pStyle w:val="Odstavecseseznamem"/>
        <w:ind w:left="426" w:hanging="426"/>
        <w:jc w:val="both"/>
        <w:rPr>
          <w:rFonts w:ascii="Arial" w:hAnsi="Arial" w:cs="Arial"/>
          <w:b/>
          <w:bCs/>
          <w:u w:val="single"/>
        </w:rPr>
      </w:pPr>
      <w:r w:rsidRPr="00462E26">
        <w:rPr>
          <w:rFonts w:ascii="Arial" w:hAnsi="Arial" w:cs="Arial"/>
          <w:b/>
          <w:bCs/>
          <w:u w:val="single"/>
        </w:rPr>
        <w:t>Doporučení PřD</w:t>
      </w:r>
      <w:r>
        <w:rPr>
          <w:rFonts w:ascii="Arial" w:hAnsi="Arial" w:cs="Arial"/>
          <w:b/>
          <w:bCs/>
          <w:u w:val="single"/>
        </w:rPr>
        <w:t>:</w:t>
      </w:r>
    </w:p>
    <w:p w:rsidR="00F25E89" w:rsidRDefault="00F25E89" w:rsidP="00EC0E8F">
      <w:pPr>
        <w:pStyle w:val="Odstavecseseznamem"/>
        <w:spacing w:after="120"/>
        <w:ind w:left="357" w:hanging="357"/>
        <w:jc w:val="both"/>
        <w:rPr>
          <w:rFonts w:ascii="Arial" w:hAnsi="Arial" w:cs="Arial"/>
        </w:rPr>
      </w:pPr>
      <w:r w:rsidRPr="00462E26">
        <w:rPr>
          <w:rFonts w:ascii="Arial" w:hAnsi="Arial" w:cs="Arial"/>
        </w:rPr>
        <w:t xml:space="preserve">1. </w:t>
      </w:r>
      <w:r>
        <w:rPr>
          <w:rFonts w:ascii="Arial" w:hAnsi="Arial" w:cs="Arial"/>
        </w:rPr>
        <w:t>Detailně se s obsahem „Pojistné smlouvy“ seznámit s důrazem na obsah pojistných nebezpečí, procesem nahlašování pojistných událostí a nahlašování změn ve smlouvě.</w:t>
      </w:r>
    </w:p>
    <w:p w:rsidR="00C237A4" w:rsidRDefault="00C237A4" w:rsidP="00EC0E8F">
      <w:pPr>
        <w:pStyle w:val="Odstavecseseznamem"/>
        <w:spacing w:after="120" w:line="240" w:lineRule="auto"/>
        <w:ind w:left="357" w:hanging="357"/>
        <w:jc w:val="both"/>
        <w:rPr>
          <w:rFonts w:ascii="Arial" w:hAnsi="Arial" w:cs="Arial"/>
        </w:rPr>
      </w:pPr>
      <w:r>
        <w:rPr>
          <w:rFonts w:ascii="Arial" w:hAnsi="Arial" w:cs="Arial"/>
        </w:rPr>
        <w:t xml:space="preserve">2.  Z pohledu předešlého uplatňování pojistných událostí je třeba i drobnější pojistné  hlásit </w:t>
      </w:r>
      <w:r w:rsidRPr="0049020A">
        <w:rPr>
          <w:rFonts w:ascii="Arial" w:hAnsi="Arial" w:cs="Arial"/>
        </w:rPr>
        <w:t>(vloupání do sklepních prostor a odcizení kamer),</w:t>
      </w:r>
      <w:r>
        <w:rPr>
          <w:rFonts w:ascii="Arial" w:hAnsi="Arial" w:cs="Arial"/>
          <w:color w:val="31849B"/>
        </w:rPr>
        <w:t xml:space="preserve"> </w:t>
      </w:r>
      <w:r>
        <w:rPr>
          <w:rFonts w:ascii="Arial" w:hAnsi="Arial" w:cs="Arial"/>
        </w:rPr>
        <w:t>a uplatňovat jejich úhradu v souladu s dikcí nové smlouvy.</w:t>
      </w:r>
    </w:p>
    <w:p w:rsidR="00C237A4" w:rsidRDefault="00C237A4" w:rsidP="00462E26">
      <w:pPr>
        <w:pStyle w:val="Odstavecseseznamem"/>
        <w:ind w:left="360" w:hanging="360"/>
        <w:jc w:val="both"/>
        <w:rPr>
          <w:rFonts w:ascii="Arial" w:hAnsi="Arial" w:cs="Arial"/>
        </w:rPr>
      </w:pPr>
    </w:p>
    <w:p w:rsidR="00F25E89" w:rsidRPr="00284E80" w:rsidRDefault="00F25E89" w:rsidP="00284E80">
      <w:pPr>
        <w:pStyle w:val="Odstavecseseznamem"/>
        <w:ind w:left="0"/>
        <w:rPr>
          <w:rFonts w:ascii="Arial" w:hAnsi="Arial" w:cs="Arial"/>
          <w:i/>
          <w:iCs/>
        </w:rPr>
      </w:pPr>
    </w:p>
    <w:sectPr w:rsidR="00F25E89" w:rsidRPr="00284E80" w:rsidSect="0067524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0D8" w:rsidRDefault="002B40D8" w:rsidP="00FB660D">
      <w:pPr>
        <w:spacing w:after="0" w:line="240" w:lineRule="auto"/>
      </w:pPr>
      <w:r>
        <w:separator/>
      </w:r>
    </w:p>
  </w:endnote>
  <w:endnote w:type="continuationSeparator" w:id="0">
    <w:p w:rsidR="002B40D8" w:rsidRDefault="002B40D8" w:rsidP="00FB6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E89" w:rsidRDefault="00E01168">
    <w:pPr>
      <w:pStyle w:val="Zpat"/>
      <w:jc w:val="center"/>
    </w:pPr>
    <w:fldSimple w:instr=" PAGE   \* MERGEFORMAT ">
      <w:r w:rsidR="00EC0E8F">
        <w:rPr>
          <w:noProof/>
        </w:rPr>
        <w:t>6</w:t>
      </w:r>
    </w:fldSimple>
  </w:p>
  <w:p w:rsidR="00F25E89" w:rsidRDefault="00F25E8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0D8" w:rsidRDefault="002B40D8" w:rsidP="00FB660D">
      <w:pPr>
        <w:spacing w:after="0" w:line="240" w:lineRule="auto"/>
      </w:pPr>
      <w:r>
        <w:separator/>
      </w:r>
    </w:p>
  </w:footnote>
  <w:footnote w:type="continuationSeparator" w:id="0">
    <w:p w:rsidR="002B40D8" w:rsidRDefault="002B40D8" w:rsidP="00FB66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7EC"/>
    <w:multiLevelType w:val="hybridMultilevel"/>
    <w:tmpl w:val="43A0B3F2"/>
    <w:lvl w:ilvl="0" w:tplc="973EB466">
      <w:start w:val="6"/>
      <w:numFmt w:val="bullet"/>
      <w:lvlText w:val="-"/>
      <w:lvlJc w:val="left"/>
      <w:pPr>
        <w:ind w:left="1140" w:hanging="360"/>
      </w:pPr>
      <w:rPr>
        <w:rFonts w:ascii="Calibri" w:eastAsia="Times New Roman" w:hAnsi="Calibri" w:hint="default"/>
      </w:rPr>
    </w:lvl>
    <w:lvl w:ilvl="1" w:tplc="04050003">
      <w:start w:val="1"/>
      <w:numFmt w:val="bullet"/>
      <w:lvlText w:val="o"/>
      <w:lvlJc w:val="left"/>
      <w:pPr>
        <w:ind w:left="1860" w:hanging="360"/>
      </w:pPr>
      <w:rPr>
        <w:rFonts w:ascii="Courier New" w:hAnsi="Courier New" w:hint="default"/>
      </w:rPr>
    </w:lvl>
    <w:lvl w:ilvl="2" w:tplc="04050005">
      <w:start w:val="1"/>
      <w:numFmt w:val="bullet"/>
      <w:lvlText w:val=""/>
      <w:lvlJc w:val="left"/>
      <w:pPr>
        <w:ind w:left="2580" w:hanging="360"/>
      </w:pPr>
      <w:rPr>
        <w:rFonts w:ascii="Wingdings" w:hAnsi="Wingdings" w:cs="Wingdings" w:hint="default"/>
      </w:rPr>
    </w:lvl>
    <w:lvl w:ilvl="3" w:tplc="04050001">
      <w:start w:val="1"/>
      <w:numFmt w:val="bullet"/>
      <w:lvlText w:val=""/>
      <w:lvlJc w:val="left"/>
      <w:pPr>
        <w:ind w:left="3300" w:hanging="360"/>
      </w:pPr>
      <w:rPr>
        <w:rFonts w:ascii="Symbol" w:hAnsi="Symbol" w:cs="Symbol" w:hint="default"/>
      </w:rPr>
    </w:lvl>
    <w:lvl w:ilvl="4" w:tplc="04050003">
      <w:start w:val="1"/>
      <w:numFmt w:val="bullet"/>
      <w:lvlText w:val="o"/>
      <w:lvlJc w:val="left"/>
      <w:pPr>
        <w:ind w:left="4020" w:hanging="360"/>
      </w:pPr>
      <w:rPr>
        <w:rFonts w:ascii="Courier New" w:hAnsi="Courier New" w:cs="Courier New" w:hint="default"/>
      </w:rPr>
    </w:lvl>
    <w:lvl w:ilvl="5" w:tplc="04050005">
      <w:start w:val="1"/>
      <w:numFmt w:val="bullet"/>
      <w:lvlText w:val=""/>
      <w:lvlJc w:val="left"/>
      <w:pPr>
        <w:ind w:left="4740" w:hanging="360"/>
      </w:pPr>
      <w:rPr>
        <w:rFonts w:ascii="Wingdings" w:hAnsi="Wingdings" w:cs="Wingdings" w:hint="default"/>
      </w:rPr>
    </w:lvl>
    <w:lvl w:ilvl="6" w:tplc="04050001">
      <w:start w:val="1"/>
      <w:numFmt w:val="bullet"/>
      <w:lvlText w:val=""/>
      <w:lvlJc w:val="left"/>
      <w:pPr>
        <w:ind w:left="5460" w:hanging="360"/>
      </w:pPr>
      <w:rPr>
        <w:rFonts w:ascii="Symbol" w:hAnsi="Symbol" w:cs="Symbol" w:hint="default"/>
      </w:rPr>
    </w:lvl>
    <w:lvl w:ilvl="7" w:tplc="04050003">
      <w:start w:val="1"/>
      <w:numFmt w:val="bullet"/>
      <w:lvlText w:val="o"/>
      <w:lvlJc w:val="left"/>
      <w:pPr>
        <w:ind w:left="6180" w:hanging="360"/>
      </w:pPr>
      <w:rPr>
        <w:rFonts w:ascii="Courier New" w:hAnsi="Courier New" w:cs="Courier New" w:hint="default"/>
      </w:rPr>
    </w:lvl>
    <w:lvl w:ilvl="8" w:tplc="04050005">
      <w:start w:val="1"/>
      <w:numFmt w:val="bullet"/>
      <w:lvlText w:val=""/>
      <w:lvlJc w:val="left"/>
      <w:pPr>
        <w:ind w:left="6900" w:hanging="360"/>
      </w:pPr>
      <w:rPr>
        <w:rFonts w:ascii="Wingdings" w:hAnsi="Wingdings" w:cs="Wingdings" w:hint="default"/>
      </w:rPr>
    </w:lvl>
  </w:abstractNum>
  <w:abstractNum w:abstractNumId="1">
    <w:nsid w:val="17B06D6D"/>
    <w:multiLevelType w:val="hybridMultilevel"/>
    <w:tmpl w:val="292851B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88D1C94"/>
    <w:multiLevelType w:val="hybridMultilevel"/>
    <w:tmpl w:val="8EBC46F4"/>
    <w:lvl w:ilvl="0" w:tplc="69E28C30">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8AB16A3"/>
    <w:multiLevelType w:val="hybridMultilevel"/>
    <w:tmpl w:val="9CC0FDB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6A84630"/>
    <w:multiLevelType w:val="hybridMultilevel"/>
    <w:tmpl w:val="23EEA522"/>
    <w:lvl w:ilvl="0" w:tplc="71E83180">
      <w:start w:val="1"/>
      <w:numFmt w:val="decimal"/>
      <w:lvlText w:val="%1."/>
      <w:lvlJc w:val="left"/>
      <w:pPr>
        <w:ind w:left="720" w:hanging="360"/>
      </w:pPr>
      <w:rPr>
        <w:rFonts w:hint="default"/>
        <w:b w:val="0"/>
        <w:bCs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33074520"/>
    <w:multiLevelType w:val="hybridMultilevel"/>
    <w:tmpl w:val="2AC04C96"/>
    <w:lvl w:ilvl="0" w:tplc="5DF644F8">
      <w:start w:val="1"/>
      <w:numFmt w:val="bullet"/>
      <w:lvlText w:val="-"/>
      <w:lvlJc w:val="left"/>
      <w:pPr>
        <w:ind w:left="1080" w:hanging="360"/>
      </w:pPr>
      <w:rPr>
        <w:rFonts w:ascii="Arial" w:eastAsia="Times New Roman" w:hAnsi="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6">
    <w:nsid w:val="3E575EC7"/>
    <w:multiLevelType w:val="hybridMultilevel"/>
    <w:tmpl w:val="92BA968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49DE1620"/>
    <w:multiLevelType w:val="hybridMultilevel"/>
    <w:tmpl w:val="F79CDC1E"/>
    <w:lvl w:ilvl="0" w:tplc="04050001">
      <w:start w:val="1"/>
      <w:numFmt w:val="bullet"/>
      <w:lvlText w:val=""/>
      <w:lvlJc w:val="left"/>
      <w:pPr>
        <w:ind w:left="1797" w:hanging="360"/>
      </w:pPr>
      <w:rPr>
        <w:rFonts w:ascii="Symbol" w:hAnsi="Symbol" w:cs="Symbol" w:hint="default"/>
      </w:rPr>
    </w:lvl>
    <w:lvl w:ilvl="1" w:tplc="04050003">
      <w:start w:val="1"/>
      <w:numFmt w:val="bullet"/>
      <w:lvlText w:val="o"/>
      <w:lvlJc w:val="left"/>
      <w:pPr>
        <w:ind w:left="2517" w:hanging="360"/>
      </w:pPr>
      <w:rPr>
        <w:rFonts w:ascii="Courier New" w:hAnsi="Courier New" w:cs="Courier New" w:hint="default"/>
      </w:rPr>
    </w:lvl>
    <w:lvl w:ilvl="2" w:tplc="04050005">
      <w:start w:val="1"/>
      <w:numFmt w:val="bullet"/>
      <w:lvlText w:val=""/>
      <w:lvlJc w:val="left"/>
      <w:pPr>
        <w:ind w:left="3237" w:hanging="360"/>
      </w:pPr>
      <w:rPr>
        <w:rFonts w:ascii="Wingdings" w:hAnsi="Wingdings" w:cs="Wingdings" w:hint="default"/>
      </w:rPr>
    </w:lvl>
    <w:lvl w:ilvl="3" w:tplc="04050001">
      <w:start w:val="1"/>
      <w:numFmt w:val="bullet"/>
      <w:lvlText w:val=""/>
      <w:lvlJc w:val="left"/>
      <w:pPr>
        <w:ind w:left="3957" w:hanging="360"/>
      </w:pPr>
      <w:rPr>
        <w:rFonts w:ascii="Symbol" w:hAnsi="Symbol" w:cs="Symbol" w:hint="default"/>
      </w:rPr>
    </w:lvl>
    <w:lvl w:ilvl="4" w:tplc="04050003">
      <w:start w:val="1"/>
      <w:numFmt w:val="bullet"/>
      <w:lvlText w:val="o"/>
      <w:lvlJc w:val="left"/>
      <w:pPr>
        <w:ind w:left="4677" w:hanging="360"/>
      </w:pPr>
      <w:rPr>
        <w:rFonts w:ascii="Courier New" w:hAnsi="Courier New" w:cs="Courier New" w:hint="default"/>
      </w:rPr>
    </w:lvl>
    <w:lvl w:ilvl="5" w:tplc="04050005">
      <w:start w:val="1"/>
      <w:numFmt w:val="bullet"/>
      <w:lvlText w:val=""/>
      <w:lvlJc w:val="left"/>
      <w:pPr>
        <w:ind w:left="5397" w:hanging="360"/>
      </w:pPr>
      <w:rPr>
        <w:rFonts w:ascii="Wingdings" w:hAnsi="Wingdings" w:cs="Wingdings" w:hint="default"/>
      </w:rPr>
    </w:lvl>
    <w:lvl w:ilvl="6" w:tplc="04050001">
      <w:start w:val="1"/>
      <w:numFmt w:val="bullet"/>
      <w:lvlText w:val=""/>
      <w:lvlJc w:val="left"/>
      <w:pPr>
        <w:ind w:left="6117" w:hanging="360"/>
      </w:pPr>
      <w:rPr>
        <w:rFonts w:ascii="Symbol" w:hAnsi="Symbol" w:cs="Symbol" w:hint="default"/>
      </w:rPr>
    </w:lvl>
    <w:lvl w:ilvl="7" w:tplc="04050003">
      <w:start w:val="1"/>
      <w:numFmt w:val="bullet"/>
      <w:lvlText w:val="o"/>
      <w:lvlJc w:val="left"/>
      <w:pPr>
        <w:ind w:left="6837" w:hanging="360"/>
      </w:pPr>
      <w:rPr>
        <w:rFonts w:ascii="Courier New" w:hAnsi="Courier New" w:cs="Courier New" w:hint="default"/>
      </w:rPr>
    </w:lvl>
    <w:lvl w:ilvl="8" w:tplc="04050005">
      <w:start w:val="1"/>
      <w:numFmt w:val="bullet"/>
      <w:lvlText w:val=""/>
      <w:lvlJc w:val="left"/>
      <w:pPr>
        <w:ind w:left="7557" w:hanging="360"/>
      </w:pPr>
      <w:rPr>
        <w:rFonts w:ascii="Wingdings" w:hAnsi="Wingdings" w:cs="Wingdings" w:hint="default"/>
      </w:rPr>
    </w:lvl>
  </w:abstractNum>
  <w:abstractNum w:abstractNumId="8">
    <w:nsid w:val="4A473E37"/>
    <w:multiLevelType w:val="hybridMultilevel"/>
    <w:tmpl w:val="81949F96"/>
    <w:lvl w:ilvl="0" w:tplc="A8C663DC">
      <w:start w:val="17"/>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nsid w:val="65083281"/>
    <w:multiLevelType w:val="hybridMultilevel"/>
    <w:tmpl w:val="A094E33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70DA1B75"/>
    <w:multiLevelType w:val="hybridMultilevel"/>
    <w:tmpl w:val="090EAEDE"/>
    <w:lvl w:ilvl="0" w:tplc="0405000B">
      <w:start w:val="1"/>
      <w:numFmt w:val="bullet"/>
      <w:lvlText w:val=""/>
      <w:lvlJc w:val="left"/>
      <w:pPr>
        <w:ind w:left="1440" w:hanging="360"/>
      </w:pPr>
      <w:rPr>
        <w:rFonts w:ascii="Wingdings" w:hAnsi="Wingdings" w:cs="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11">
    <w:nsid w:val="726A09F9"/>
    <w:multiLevelType w:val="hybridMultilevel"/>
    <w:tmpl w:val="9D961E8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nsid w:val="74DE27D5"/>
    <w:multiLevelType w:val="hybridMultilevel"/>
    <w:tmpl w:val="143C83C0"/>
    <w:lvl w:ilvl="0" w:tplc="0405000D">
      <w:start w:val="1"/>
      <w:numFmt w:val="bullet"/>
      <w:lvlText w:val=""/>
      <w:lvlJc w:val="left"/>
      <w:pPr>
        <w:ind w:left="1068" w:hanging="360"/>
      </w:pPr>
      <w:rPr>
        <w:rFonts w:ascii="Wingdings" w:hAnsi="Wingdings" w:cs="Wingding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cs="Wingdings" w:hint="default"/>
      </w:rPr>
    </w:lvl>
    <w:lvl w:ilvl="3" w:tplc="04050001">
      <w:start w:val="1"/>
      <w:numFmt w:val="bullet"/>
      <w:lvlText w:val=""/>
      <w:lvlJc w:val="left"/>
      <w:pPr>
        <w:ind w:left="3228" w:hanging="360"/>
      </w:pPr>
      <w:rPr>
        <w:rFonts w:ascii="Symbol" w:hAnsi="Symbol" w:cs="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cs="Wingdings" w:hint="default"/>
      </w:rPr>
    </w:lvl>
    <w:lvl w:ilvl="6" w:tplc="04050001">
      <w:start w:val="1"/>
      <w:numFmt w:val="bullet"/>
      <w:lvlText w:val=""/>
      <w:lvlJc w:val="left"/>
      <w:pPr>
        <w:ind w:left="5388" w:hanging="360"/>
      </w:pPr>
      <w:rPr>
        <w:rFonts w:ascii="Symbol" w:hAnsi="Symbol" w:cs="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cs="Wingdings" w:hint="default"/>
      </w:rPr>
    </w:lvl>
  </w:abstractNum>
  <w:abstractNum w:abstractNumId="13">
    <w:nsid w:val="7E125591"/>
    <w:multiLevelType w:val="hybridMultilevel"/>
    <w:tmpl w:val="1DEA058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4"/>
  </w:num>
  <w:num w:numId="3">
    <w:abstractNumId w:val="12"/>
  </w:num>
  <w:num w:numId="4">
    <w:abstractNumId w:val="8"/>
  </w:num>
  <w:num w:numId="5">
    <w:abstractNumId w:val="3"/>
  </w:num>
  <w:num w:numId="6">
    <w:abstractNumId w:val="13"/>
  </w:num>
  <w:num w:numId="7">
    <w:abstractNumId w:val="1"/>
  </w:num>
  <w:num w:numId="8">
    <w:abstractNumId w:val="5"/>
  </w:num>
  <w:num w:numId="9">
    <w:abstractNumId w:val="11"/>
  </w:num>
  <w:num w:numId="10">
    <w:abstractNumId w:val="0"/>
  </w:num>
  <w:num w:numId="11">
    <w:abstractNumId w:val="10"/>
  </w:num>
  <w:num w:numId="12">
    <w:abstractNumId w:val="7"/>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67F4"/>
    <w:rsid w:val="00001941"/>
    <w:rsid w:val="00036738"/>
    <w:rsid w:val="00042618"/>
    <w:rsid w:val="00091D8C"/>
    <w:rsid w:val="00096C31"/>
    <w:rsid w:val="000A6C21"/>
    <w:rsid w:val="000E58A3"/>
    <w:rsid w:val="001068C5"/>
    <w:rsid w:val="001278CB"/>
    <w:rsid w:val="001351A7"/>
    <w:rsid w:val="00136FCC"/>
    <w:rsid w:val="0014277B"/>
    <w:rsid w:val="00144CC7"/>
    <w:rsid w:val="00176034"/>
    <w:rsid w:val="001870EC"/>
    <w:rsid w:val="001C6A79"/>
    <w:rsid w:val="001D2275"/>
    <w:rsid w:val="001D25A5"/>
    <w:rsid w:val="001D790C"/>
    <w:rsid w:val="00211AD2"/>
    <w:rsid w:val="00241C3E"/>
    <w:rsid w:val="00263938"/>
    <w:rsid w:val="0026630D"/>
    <w:rsid w:val="00284E80"/>
    <w:rsid w:val="002B40D8"/>
    <w:rsid w:val="0033755E"/>
    <w:rsid w:val="00353B28"/>
    <w:rsid w:val="003629DF"/>
    <w:rsid w:val="00367B18"/>
    <w:rsid w:val="00390851"/>
    <w:rsid w:val="00393BDB"/>
    <w:rsid w:val="003961C9"/>
    <w:rsid w:val="003B0152"/>
    <w:rsid w:val="003D7411"/>
    <w:rsid w:val="00400190"/>
    <w:rsid w:val="00423C66"/>
    <w:rsid w:val="00462731"/>
    <w:rsid w:val="00462E26"/>
    <w:rsid w:val="00477E16"/>
    <w:rsid w:val="0049020A"/>
    <w:rsid w:val="004B571D"/>
    <w:rsid w:val="004E07C0"/>
    <w:rsid w:val="004F2EF6"/>
    <w:rsid w:val="00503EB6"/>
    <w:rsid w:val="0050790E"/>
    <w:rsid w:val="00511310"/>
    <w:rsid w:val="00527469"/>
    <w:rsid w:val="00534791"/>
    <w:rsid w:val="00543B62"/>
    <w:rsid w:val="00544263"/>
    <w:rsid w:val="00545953"/>
    <w:rsid w:val="0055689E"/>
    <w:rsid w:val="00586BAB"/>
    <w:rsid w:val="005A150A"/>
    <w:rsid w:val="005F2800"/>
    <w:rsid w:val="00603345"/>
    <w:rsid w:val="0062541E"/>
    <w:rsid w:val="00675243"/>
    <w:rsid w:val="0068056C"/>
    <w:rsid w:val="006915BF"/>
    <w:rsid w:val="006A5915"/>
    <w:rsid w:val="006D7F68"/>
    <w:rsid w:val="006F5529"/>
    <w:rsid w:val="006F67F4"/>
    <w:rsid w:val="0070683A"/>
    <w:rsid w:val="00711E15"/>
    <w:rsid w:val="007313B4"/>
    <w:rsid w:val="00767BA9"/>
    <w:rsid w:val="00770B66"/>
    <w:rsid w:val="00771CC2"/>
    <w:rsid w:val="00786660"/>
    <w:rsid w:val="007B6215"/>
    <w:rsid w:val="007C22CD"/>
    <w:rsid w:val="007D303D"/>
    <w:rsid w:val="007D6B85"/>
    <w:rsid w:val="007E0BF6"/>
    <w:rsid w:val="007E2130"/>
    <w:rsid w:val="007E3F55"/>
    <w:rsid w:val="007E65F5"/>
    <w:rsid w:val="007F5F66"/>
    <w:rsid w:val="00816BBC"/>
    <w:rsid w:val="008371FB"/>
    <w:rsid w:val="008408B6"/>
    <w:rsid w:val="00874E59"/>
    <w:rsid w:val="008835EE"/>
    <w:rsid w:val="0089244F"/>
    <w:rsid w:val="008B2B62"/>
    <w:rsid w:val="008B552A"/>
    <w:rsid w:val="008D2DED"/>
    <w:rsid w:val="008E1F8E"/>
    <w:rsid w:val="008F5AFF"/>
    <w:rsid w:val="00904554"/>
    <w:rsid w:val="00923E54"/>
    <w:rsid w:val="00936D05"/>
    <w:rsid w:val="009557C6"/>
    <w:rsid w:val="00966771"/>
    <w:rsid w:val="00995E89"/>
    <w:rsid w:val="009A2D8A"/>
    <w:rsid w:val="009A33CD"/>
    <w:rsid w:val="009E4198"/>
    <w:rsid w:val="009F66B9"/>
    <w:rsid w:val="00A16D1B"/>
    <w:rsid w:val="00A566D3"/>
    <w:rsid w:val="00A831ED"/>
    <w:rsid w:val="00A900E0"/>
    <w:rsid w:val="00AB7751"/>
    <w:rsid w:val="00AC717E"/>
    <w:rsid w:val="00AC7D1B"/>
    <w:rsid w:val="00AE329A"/>
    <w:rsid w:val="00AE5C54"/>
    <w:rsid w:val="00B1712B"/>
    <w:rsid w:val="00B33CA9"/>
    <w:rsid w:val="00B73944"/>
    <w:rsid w:val="00B96812"/>
    <w:rsid w:val="00BB13A6"/>
    <w:rsid w:val="00BC1537"/>
    <w:rsid w:val="00BC1C7B"/>
    <w:rsid w:val="00BD2ABD"/>
    <w:rsid w:val="00BD7AC5"/>
    <w:rsid w:val="00BF4AD3"/>
    <w:rsid w:val="00C012F7"/>
    <w:rsid w:val="00C024B1"/>
    <w:rsid w:val="00C15405"/>
    <w:rsid w:val="00C16204"/>
    <w:rsid w:val="00C20951"/>
    <w:rsid w:val="00C237A4"/>
    <w:rsid w:val="00C611B8"/>
    <w:rsid w:val="00C72E4D"/>
    <w:rsid w:val="00CB20F0"/>
    <w:rsid w:val="00CD6CE4"/>
    <w:rsid w:val="00CF0DCF"/>
    <w:rsid w:val="00D14C8F"/>
    <w:rsid w:val="00D27EA5"/>
    <w:rsid w:val="00D45CE4"/>
    <w:rsid w:val="00D5337F"/>
    <w:rsid w:val="00D602AD"/>
    <w:rsid w:val="00D87923"/>
    <w:rsid w:val="00DA61F6"/>
    <w:rsid w:val="00DB4610"/>
    <w:rsid w:val="00DB75A6"/>
    <w:rsid w:val="00DD38D6"/>
    <w:rsid w:val="00DD5131"/>
    <w:rsid w:val="00E01168"/>
    <w:rsid w:val="00E0574D"/>
    <w:rsid w:val="00E123A6"/>
    <w:rsid w:val="00E12A0C"/>
    <w:rsid w:val="00E1679F"/>
    <w:rsid w:val="00E206CB"/>
    <w:rsid w:val="00E2211E"/>
    <w:rsid w:val="00E40939"/>
    <w:rsid w:val="00E63375"/>
    <w:rsid w:val="00E7091B"/>
    <w:rsid w:val="00EA3FC8"/>
    <w:rsid w:val="00EB7AA4"/>
    <w:rsid w:val="00EC0E8F"/>
    <w:rsid w:val="00ED36F0"/>
    <w:rsid w:val="00F25E89"/>
    <w:rsid w:val="00F31B1A"/>
    <w:rsid w:val="00F323C0"/>
    <w:rsid w:val="00F63AEF"/>
    <w:rsid w:val="00F773E0"/>
    <w:rsid w:val="00FA34E6"/>
    <w:rsid w:val="00FA774C"/>
    <w:rsid w:val="00FB660D"/>
    <w:rsid w:val="00FC6D2F"/>
    <w:rsid w:val="00FE12B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5243"/>
    <w:pPr>
      <w:spacing w:after="200" w:line="276"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A34E6"/>
    <w:pPr>
      <w:ind w:left="720"/>
    </w:pPr>
  </w:style>
  <w:style w:type="table" w:styleId="Mkatabulky">
    <w:name w:val="Table Grid"/>
    <w:basedOn w:val="Normlntabulka"/>
    <w:uiPriority w:val="99"/>
    <w:rsid w:val="000E58A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1">
    <w:name w:val="Odstavec se seznamem1"/>
    <w:basedOn w:val="Normln"/>
    <w:uiPriority w:val="99"/>
    <w:rsid w:val="00BF4AD3"/>
    <w:pPr>
      <w:ind w:left="720"/>
    </w:pPr>
    <w:rPr>
      <w:rFonts w:eastAsia="Times New Roman"/>
    </w:rPr>
  </w:style>
  <w:style w:type="paragraph" w:styleId="Zhlav">
    <w:name w:val="header"/>
    <w:basedOn w:val="Normln"/>
    <w:link w:val="ZhlavChar"/>
    <w:uiPriority w:val="99"/>
    <w:semiHidden/>
    <w:rsid w:val="00FB660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FB660D"/>
  </w:style>
  <w:style w:type="paragraph" w:styleId="Zpat">
    <w:name w:val="footer"/>
    <w:basedOn w:val="Normln"/>
    <w:link w:val="ZpatChar"/>
    <w:uiPriority w:val="99"/>
    <w:rsid w:val="00FB660D"/>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FB660D"/>
  </w:style>
  <w:style w:type="paragraph" w:customStyle="1" w:styleId="Odstavecseseznamem2">
    <w:name w:val="Odstavec se seznamem2"/>
    <w:basedOn w:val="Normln"/>
    <w:uiPriority w:val="99"/>
    <w:rsid w:val="00AC717E"/>
    <w:pPr>
      <w:ind w:left="720"/>
    </w:pPr>
    <w:rPr>
      <w:rFonts w:eastAsia="Times New Roman"/>
    </w:rPr>
  </w:style>
  <w:style w:type="paragraph" w:styleId="Normlnweb">
    <w:name w:val="Normal (Web)"/>
    <w:basedOn w:val="Normln"/>
    <w:uiPriority w:val="99"/>
    <w:semiHidden/>
    <w:rsid w:val="00176034"/>
    <w:pPr>
      <w:spacing w:before="100" w:beforeAutospacing="1" w:after="100" w:afterAutospacing="1" w:line="240" w:lineRule="auto"/>
    </w:pPr>
    <w:rPr>
      <w:sz w:val="24"/>
      <w:szCs w:val="24"/>
      <w:lang w:eastAsia="cs-CZ"/>
    </w:rPr>
  </w:style>
</w:styles>
</file>

<file path=word/webSettings.xml><?xml version="1.0" encoding="utf-8"?>
<w:webSettings xmlns:r="http://schemas.openxmlformats.org/officeDocument/2006/relationships" xmlns:w="http://schemas.openxmlformats.org/wordprocessingml/2006/main">
  <w:divs>
    <w:div w:id="1801192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1560</TotalTime>
  <Pages>6</Pages>
  <Words>1973</Words>
  <Characters>11643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FERRERO Ceska s.r.o.</Company>
  <LinksUpToDate>false</LinksUpToDate>
  <CharactersWithSpaces>13589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lanj</dc:creator>
  <cp:keywords/>
  <dc:description/>
  <cp:lastModifiedBy>lanj</cp:lastModifiedBy>
  <cp:revision>48</cp:revision>
  <cp:lastPrinted>2015-11-16T15:22:00Z</cp:lastPrinted>
  <dcterms:created xsi:type="dcterms:W3CDTF">2015-11-06T11:16:00Z</dcterms:created>
  <dcterms:modified xsi:type="dcterms:W3CDTF">2015-12-04T09:02:00Z</dcterms:modified>
</cp:coreProperties>
</file>